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4C5" w:rsidRDefault="00695C25">
      <w:pPr>
        <w:ind w:rightChars="304" w:right="638"/>
        <w:jc w:val="center"/>
        <w:rPr>
          <w:b/>
          <w:bCs/>
          <w:sz w:val="44"/>
          <w:szCs w:val="44"/>
          <w:u w:val="double"/>
        </w:rPr>
      </w:pPr>
      <w:r>
        <w:rPr>
          <w:rFonts w:hint="eastAsia"/>
          <w:b/>
          <w:bCs/>
          <w:sz w:val="44"/>
          <w:szCs w:val="44"/>
          <w:u w:val="double"/>
        </w:rPr>
        <w:t>辽宁省水利科技成果登记表</w:t>
      </w:r>
    </w:p>
    <w:p w:rsidR="002244C5" w:rsidRDefault="002244C5">
      <w:pPr>
        <w:ind w:rightChars="304" w:right="638"/>
        <w:jc w:val="center"/>
        <w:rPr>
          <w:b/>
          <w:bCs/>
          <w:sz w:val="13"/>
          <w:szCs w:val="13"/>
          <w:u w:val="double"/>
        </w:rPr>
      </w:pPr>
    </w:p>
    <w:tbl>
      <w:tblPr>
        <w:tblStyle w:val="a5"/>
        <w:tblpPr w:leftFromText="180" w:rightFromText="180" w:vertAnchor="text" w:horzAnchor="margin" w:tblpY="129"/>
        <w:tblOverlap w:val="never"/>
        <w:tblW w:w="9675" w:type="dxa"/>
        <w:tblLayout w:type="fixed"/>
        <w:tblLook w:val="04A0" w:firstRow="1" w:lastRow="0" w:firstColumn="1" w:lastColumn="0" w:noHBand="0" w:noVBand="1"/>
      </w:tblPr>
      <w:tblGrid>
        <w:gridCol w:w="1965"/>
        <w:gridCol w:w="3375"/>
        <w:gridCol w:w="300"/>
        <w:gridCol w:w="1275"/>
        <w:gridCol w:w="60"/>
        <w:gridCol w:w="2700"/>
      </w:tblGrid>
      <w:tr w:rsidR="002244C5">
        <w:trPr>
          <w:trHeight w:val="702"/>
        </w:trPr>
        <w:tc>
          <w:tcPr>
            <w:tcW w:w="1965" w:type="dxa"/>
            <w:vAlign w:val="center"/>
          </w:tcPr>
          <w:p w:rsidR="002244C5" w:rsidRDefault="00695C25">
            <w:pPr>
              <w:jc w:val="center"/>
              <w:rPr>
                <w:sz w:val="24"/>
              </w:rPr>
            </w:pPr>
            <w:r>
              <w:rPr>
                <w:rFonts w:hint="eastAsia"/>
                <w:sz w:val="24"/>
              </w:rPr>
              <w:t>成果名称</w:t>
            </w:r>
          </w:p>
        </w:tc>
        <w:tc>
          <w:tcPr>
            <w:tcW w:w="7710" w:type="dxa"/>
            <w:gridSpan w:val="5"/>
            <w:vAlign w:val="center"/>
          </w:tcPr>
          <w:p w:rsidR="002244C5" w:rsidRDefault="00BC4243" w:rsidP="00BC4243">
            <w:pPr>
              <w:jc w:val="center"/>
              <w:rPr>
                <w:sz w:val="24"/>
              </w:rPr>
            </w:pPr>
            <w:r w:rsidRPr="00F1488A">
              <w:rPr>
                <w:rFonts w:ascii="Times New Roman" w:hAnsi="Times New Roman"/>
              </w:rPr>
              <w:t>基于北斗</w:t>
            </w:r>
            <w:r w:rsidRPr="00F1488A">
              <w:rPr>
                <w:rFonts w:ascii="Times New Roman" w:hAnsi="Times New Roman"/>
              </w:rPr>
              <w:t>GPS</w:t>
            </w:r>
            <w:r w:rsidRPr="00F1488A">
              <w:rPr>
                <w:rFonts w:ascii="Times New Roman" w:hAnsi="Times New Roman"/>
              </w:rPr>
              <w:t>的超标洪水测报系统技术创新与应用研究</w:t>
            </w:r>
          </w:p>
        </w:tc>
      </w:tr>
      <w:tr w:rsidR="002244C5">
        <w:trPr>
          <w:trHeight w:val="837"/>
        </w:trPr>
        <w:tc>
          <w:tcPr>
            <w:tcW w:w="1965" w:type="dxa"/>
            <w:vAlign w:val="center"/>
          </w:tcPr>
          <w:p w:rsidR="002244C5" w:rsidRDefault="00695C25">
            <w:pPr>
              <w:jc w:val="center"/>
              <w:rPr>
                <w:sz w:val="24"/>
              </w:rPr>
            </w:pPr>
            <w:r>
              <w:rPr>
                <w:rFonts w:hint="eastAsia"/>
                <w:sz w:val="24"/>
              </w:rPr>
              <w:t>成果持有人姓名</w:t>
            </w:r>
          </w:p>
        </w:tc>
        <w:tc>
          <w:tcPr>
            <w:tcW w:w="3375" w:type="dxa"/>
            <w:vAlign w:val="center"/>
          </w:tcPr>
          <w:p w:rsidR="002244C5" w:rsidRDefault="00BC4243" w:rsidP="00BC4243">
            <w:pPr>
              <w:jc w:val="center"/>
              <w:rPr>
                <w:sz w:val="24"/>
              </w:rPr>
            </w:pPr>
            <w:r>
              <w:rPr>
                <w:rFonts w:hint="eastAsia"/>
                <w:sz w:val="24"/>
              </w:rPr>
              <w:t>金云杰</w:t>
            </w:r>
          </w:p>
        </w:tc>
        <w:tc>
          <w:tcPr>
            <w:tcW w:w="1635" w:type="dxa"/>
            <w:gridSpan w:val="3"/>
            <w:vAlign w:val="center"/>
          </w:tcPr>
          <w:p w:rsidR="002244C5" w:rsidRDefault="00695C25" w:rsidP="00BC4243">
            <w:pPr>
              <w:jc w:val="center"/>
              <w:rPr>
                <w:sz w:val="24"/>
              </w:rPr>
            </w:pPr>
            <w:r>
              <w:rPr>
                <w:rFonts w:hint="eastAsia"/>
                <w:sz w:val="24"/>
              </w:rPr>
              <w:t>联系人</w:t>
            </w:r>
          </w:p>
        </w:tc>
        <w:tc>
          <w:tcPr>
            <w:tcW w:w="2700" w:type="dxa"/>
            <w:vAlign w:val="center"/>
          </w:tcPr>
          <w:p w:rsidR="002244C5" w:rsidRDefault="00BC4243" w:rsidP="00BC4243">
            <w:pPr>
              <w:jc w:val="center"/>
              <w:rPr>
                <w:sz w:val="24"/>
              </w:rPr>
            </w:pPr>
            <w:r>
              <w:rPr>
                <w:rFonts w:hint="eastAsia"/>
                <w:sz w:val="24"/>
              </w:rPr>
              <w:t>王世界</w:t>
            </w:r>
          </w:p>
        </w:tc>
      </w:tr>
      <w:tr w:rsidR="002244C5">
        <w:trPr>
          <w:trHeight w:val="897"/>
        </w:trPr>
        <w:tc>
          <w:tcPr>
            <w:tcW w:w="1965" w:type="dxa"/>
            <w:vAlign w:val="center"/>
          </w:tcPr>
          <w:p w:rsidR="002244C5" w:rsidRDefault="00695C25">
            <w:pPr>
              <w:jc w:val="center"/>
              <w:rPr>
                <w:sz w:val="24"/>
              </w:rPr>
            </w:pPr>
            <w:r>
              <w:rPr>
                <w:rFonts w:hint="eastAsia"/>
                <w:sz w:val="24"/>
              </w:rPr>
              <w:t>成果持有人单位</w:t>
            </w:r>
          </w:p>
        </w:tc>
        <w:tc>
          <w:tcPr>
            <w:tcW w:w="3375" w:type="dxa"/>
            <w:vAlign w:val="center"/>
          </w:tcPr>
          <w:p w:rsidR="002244C5" w:rsidRDefault="00BC4243" w:rsidP="00BC4243">
            <w:pPr>
              <w:jc w:val="center"/>
              <w:rPr>
                <w:sz w:val="24"/>
              </w:rPr>
            </w:pPr>
            <w:r>
              <w:rPr>
                <w:rFonts w:hint="eastAsia"/>
                <w:sz w:val="24"/>
              </w:rPr>
              <w:t>辽宁省沈阳水文局、北京益邦达科技发展有限公司</w:t>
            </w:r>
            <w:bookmarkStart w:id="0" w:name="_GoBack"/>
            <w:bookmarkEnd w:id="0"/>
          </w:p>
        </w:tc>
        <w:tc>
          <w:tcPr>
            <w:tcW w:w="1635" w:type="dxa"/>
            <w:gridSpan w:val="3"/>
            <w:vAlign w:val="center"/>
          </w:tcPr>
          <w:p w:rsidR="002244C5" w:rsidRDefault="00695C25" w:rsidP="00BC4243">
            <w:pPr>
              <w:jc w:val="center"/>
              <w:rPr>
                <w:sz w:val="24"/>
              </w:rPr>
            </w:pPr>
            <w:r>
              <w:rPr>
                <w:rFonts w:hint="eastAsia"/>
                <w:sz w:val="24"/>
              </w:rPr>
              <w:t>联系方式</w:t>
            </w:r>
          </w:p>
        </w:tc>
        <w:tc>
          <w:tcPr>
            <w:tcW w:w="2700" w:type="dxa"/>
            <w:vAlign w:val="center"/>
          </w:tcPr>
          <w:p w:rsidR="002244C5" w:rsidRDefault="00BC4243" w:rsidP="00BC4243">
            <w:pPr>
              <w:jc w:val="center"/>
              <w:rPr>
                <w:sz w:val="24"/>
              </w:rPr>
            </w:pPr>
            <w:r>
              <w:rPr>
                <w:rFonts w:hint="eastAsia"/>
                <w:sz w:val="24"/>
              </w:rPr>
              <w:t>18204098116</w:t>
            </w:r>
          </w:p>
        </w:tc>
      </w:tr>
      <w:tr w:rsidR="002244C5">
        <w:trPr>
          <w:trHeight w:val="738"/>
        </w:trPr>
        <w:tc>
          <w:tcPr>
            <w:tcW w:w="1965" w:type="dxa"/>
            <w:vAlign w:val="center"/>
          </w:tcPr>
          <w:p w:rsidR="002244C5" w:rsidRDefault="00695C25">
            <w:pPr>
              <w:jc w:val="center"/>
              <w:rPr>
                <w:sz w:val="24"/>
              </w:rPr>
            </w:pPr>
            <w:r>
              <w:rPr>
                <w:rFonts w:hint="eastAsia"/>
                <w:sz w:val="24"/>
              </w:rPr>
              <w:t>知识产权情况</w:t>
            </w:r>
          </w:p>
        </w:tc>
        <w:tc>
          <w:tcPr>
            <w:tcW w:w="3375" w:type="dxa"/>
            <w:vAlign w:val="center"/>
          </w:tcPr>
          <w:p w:rsidR="002244C5" w:rsidRDefault="00BC4243" w:rsidP="00BC4243">
            <w:pPr>
              <w:jc w:val="center"/>
              <w:rPr>
                <w:sz w:val="24"/>
              </w:rPr>
            </w:pPr>
            <w:r>
              <w:rPr>
                <w:rFonts w:hint="eastAsia"/>
                <w:sz w:val="24"/>
              </w:rPr>
              <w:t>已</w:t>
            </w:r>
            <w:r w:rsidR="00695C25">
              <w:rPr>
                <w:rFonts w:hint="eastAsia"/>
                <w:sz w:val="24"/>
              </w:rPr>
              <w:t>申请专利</w:t>
            </w:r>
          </w:p>
          <w:p w:rsidR="002244C5" w:rsidRDefault="00695C25" w:rsidP="00BC4243">
            <w:pPr>
              <w:jc w:val="center"/>
              <w:rPr>
                <w:sz w:val="24"/>
              </w:rPr>
            </w:pPr>
            <w:r>
              <w:rPr>
                <w:rFonts w:hint="eastAsia"/>
                <w:sz w:val="24"/>
              </w:rPr>
              <w:t>无知识产权纠纷</w:t>
            </w:r>
          </w:p>
        </w:tc>
        <w:tc>
          <w:tcPr>
            <w:tcW w:w="1635" w:type="dxa"/>
            <w:gridSpan w:val="3"/>
            <w:vAlign w:val="center"/>
          </w:tcPr>
          <w:p w:rsidR="002244C5" w:rsidRDefault="00695C25" w:rsidP="00BC4243">
            <w:pPr>
              <w:jc w:val="center"/>
              <w:rPr>
                <w:sz w:val="24"/>
              </w:rPr>
            </w:pPr>
            <w:r>
              <w:rPr>
                <w:rFonts w:hint="eastAsia"/>
                <w:sz w:val="24"/>
              </w:rPr>
              <w:t>专利号</w:t>
            </w:r>
          </w:p>
        </w:tc>
        <w:tc>
          <w:tcPr>
            <w:tcW w:w="2700" w:type="dxa"/>
            <w:vAlign w:val="center"/>
          </w:tcPr>
          <w:p w:rsidR="002244C5" w:rsidRDefault="00BC4243" w:rsidP="00BC4243">
            <w:pPr>
              <w:jc w:val="center"/>
              <w:rPr>
                <w:sz w:val="24"/>
              </w:rPr>
            </w:pPr>
            <w:r>
              <w:rPr>
                <w:rFonts w:hint="eastAsia"/>
                <w:sz w:val="24"/>
              </w:rPr>
              <w:t>ZL202230138705.5</w:t>
            </w:r>
          </w:p>
        </w:tc>
      </w:tr>
      <w:tr w:rsidR="002244C5">
        <w:trPr>
          <w:trHeight w:val="707"/>
        </w:trPr>
        <w:tc>
          <w:tcPr>
            <w:tcW w:w="1965" w:type="dxa"/>
            <w:vAlign w:val="center"/>
          </w:tcPr>
          <w:p w:rsidR="002244C5" w:rsidRDefault="00695C25">
            <w:pPr>
              <w:jc w:val="center"/>
              <w:rPr>
                <w:sz w:val="24"/>
              </w:rPr>
            </w:pPr>
            <w:r>
              <w:rPr>
                <w:rFonts w:hint="eastAsia"/>
                <w:sz w:val="24"/>
              </w:rPr>
              <w:t>关键词</w:t>
            </w:r>
          </w:p>
        </w:tc>
        <w:tc>
          <w:tcPr>
            <w:tcW w:w="3375" w:type="dxa"/>
            <w:vAlign w:val="center"/>
          </w:tcPr>
          <w:p w:rsidR="002244C5" w:rsidRDefault="00BC4243" w:rsidP="00BC4243">
            <w:pPr>
              <w:jc w:val="center"/>
              <w:rPr>
                <w:sz w:val="24"/>
              </w:rPr>
            </w:pPr>
            <w:r>
              <w:rPr>
                <w:rFonts w:hint="eastAsia"/>
                <w:sz w:val="24"/>
              </w:rPr>
              <w:t>应急测流仪</w:t>
            </w:r>
          </w:p>
        </w:tc>
        <w:tc>
          <w:tcPr>
            <w:tcW w:w="1635" w:type="dxa"/>
            <w:gridSpan w:val="3"/>
            <w:vAlign w:val="center"/>
          </w:tcPr>
          <w:p w:rsidR="002244C5" w:rsidRDefault="00695C25" w:rsidP="00BC4243">
            <w:pPr>
              <w:jc w:val="center"/>
              <w:rPr>
                <w:sz w:val="24"/>
              </w:rPr>
            </w:pPr>
            <w:r>
              <w:rPr>
                <w:rFonts w:hint="eastAsia"/>
                <w:sz w:val="24"/>
              </w:rPr>
              <w:t>成果估价</w:t>
            </w:r>
          </w:p>
        </w:tc>
        <w:tc>
          <w:tcPr>
            <w:tcW w:w="2700" w:type="dxa"/>
            <w:vAlign w:val="center"/>
          </w:tcPr>
          <w:p w:rsidR="002244C5" w:rsidRDefault="00BC4243" w:rsidP="00BC4243">
            <w:pPr>
              <w:jc w:val="center"/>
              <w:rPr>
                <w:sz w:val="24"/>
              </w:rPr>
            </w:pPr>
            <w:r>
              <w:rPr>
                <w:rFonts w:hint="eastAsia"/>
                <w:sz w:val="24"/>
              </w:rPr>
              <w:t>50</w:t>
            </w:r>
            <w:r w:rsidR="00695C25">
              <w:rPr>
                <w:rFonts w:hint="eastAsia"/>
                <w:sz w:val="24"/>
              </w:rPr>
              <w:t xml:space="preserve">  </w:t>
            </w:r>
            <w:r w:rsidR="00695C25">
              <w:rPr>
                <w:rFonts w:hint="eastAsia"/>
                <w:sz w:val="24"/>
              </w:rPr>
              <w:t>（万元）</w:t>
            </w:r>
          </w:p>
        </w:tc>
      </w:tr>
      <w:tr w:rsidR="002244C5">
        <w:trPr>
          <w:trHeight w:val="790"/>
        </w:trPr>
        <w:tc>
          <w:tcPr>
            <w:tcW w:w="1965" w:type="dxa"/>
            <w:vAlign w:val="center"/>
          </w:tcPr>
          <w:p w:rsidR="002244C5" w:rsidRDefault="00695C25">
            <w:pPr>
              <w:jc w:val="center"/>
              <w:rPr>
                <w:sz w:val="24"/>
              </w:rPr>
            </w:pPr>
            <w:r>
              <w:rPr>
                <w:rFonts w:hint="eastAsia"/>
                <w:sz w:val="24"/>
              </w:rPr>
              <w:t>合作方式</w:t>
            </w:r>
          </w:p>
        </w:tc>
        <w:tc>
          <w:tcPr>
            <w:tcW w:w="7710" w:type="dxa"/>
            <w:gridSpan w:val="5"/>
            <w:vAlign w:val="center"/>
          </w:tcPr>
          <w:p w:rsidR="002244C5" w:rsidRDefault="00695C25" w:rsidP="00BC4243">
            <w:pPr>
              <w:jc w:val="cente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rFonts w:hint="eastAsia"/>
                <w:sz w:val="24"/>
              </w:rPr>
              <w:t>___</w:t>
            </w:r>
            <w:r w:rsidRPr="00BC4243">
              <w:rPr>
                <w:rFonts w:hint="eastAsia"/>
                <w:sz w:val="24"/>
                <w:u w:val="single"/>
              </w:rPr>
              <w:t>_</w:t>
            </w:r>
            <w:r w:rsidR="00BC4243" w:rsidRPr="00BC4243">
              <w:rPr>
                <w:rFonts w:hint="eastAsia"/>
                <w:sz w:val="24"/>
                <w:u w:val="single"/>
              </w:rPr>
              <w:t>12345</w:t>
            </w:r>
            <w:r w:rsidRPr="00BC4243">
              <w:rPr>
                <w:rFonts w:hint="eastAsia"/>
                <w:sz w:val="24"/>
                <w:u w:val="single"/>
              </w:rPr>
              <w:t>_</w:t>
            </w:r>
            <w:r>
              <w:rPr>
                <w:rFonts w:hint="eastAsia"/>
                <w:sz w:val="24"/>
              </w:rPr>
              <w:t>_______</w:t>
            </w:r>
          </w:p>
        </w:tc>
      </w:tr>
      <w:tr w:rsidR="002244C5">
        <w:trPr>
          <w:trHeight w:val="872"/>
        </w:trPr>
        <w:tc>
          <w:tcPr>
            <w:tcW w:w="1965" w:type="dxa"/>
            <w:vAlign w:val="center"/>
          </w:tcPr>
          <w:p w:rsidR="002244C5" w:rsidRDefault="00695C25">
            <w:pPr>
              <w:jc w:val="center"/>
              <w:rPr>
                <w:sz w:val="24"/>
              </w:rPr>
            </w:pPr>
            <w:r>
              <w:rPr>
                <w:rFonts w:hint="eastAsia"/>
                <w:sz w:val="24"/>
              </w:rPr>
              <w:t>成果所属专业</w:t>
            </w:r>
          </w:p>
        </w:tc>
        <w:tc>
          <w:tcPr>
            <w:tcW w:w="3675" w:type="dxa"/>
            <w:gridSpan w:val="2"/>
            <w:vAlign w:val="center"/>
          </w:tcPr>
          <w:p w:rsidR="002244C5" w:rsidRDefault="00BC4243" w:rsidP="00BC4243">
            <w:pPr>
              <w:jc w:val="center"/>
              <w:rPr>
                <w:sz w:val="24"/>
              </w:rPr>
            </w:pPr>
            <w:r>
              <w:rPr>
                <w:rFonts w:hint="eastAsia"/>
                <w:sz w:val="24"/>
              </w:rPr>
              <w:t>工程水文学</w:t>
            </w:r>
          </w:p>
        </w:tc>
        <w:tc>
          <w:tcPr>
            <w:tcW w:w="1275" w:type="dxa"/>
            <w:vAlign w:val="center"/>
          </w:tcPr>
          <w:p w:rsidR="002244C5" w:rsidRDefault="00695C25" w:rsidP="00BC4243">
            <w:pPr>
              <w:jc w:val="center"/>
              <w:rPr>
                <w:sz w:val="24"/>
              </w:rPr>
            </w:pPr>
            <w:r>
              <w:rPr>
                <w:rFonts w:hint="eastAsia"/>
                <w:sz w:val="24"/>
              </w:rPr>
              <w:t>应用行业</w:t>
            </w:r>
          </w:p>
        </w:tc>
        <w:tc>
          <w:tcPr>
            <w:tcW w:w="2760" w:type="dxa"/>
            <w:gridSpan w:val="2"/>
            <w:vAlign w:val="center"/>
          </w:tcPr>
          <w:p w:rsidR="002244C5" w:rsidRDefault="00BC4243" w:rsidP="00BC4243">
            <w:pPr>
              <w:jc w:val="center"/>
              <w:rPr>
                <w:sz w:val="24"/>
              </w:rPr>
            </w:pPr>
            <w:r>
              <w:rPr>
                <w:rFonts w:hint="eastAsia"/>
                <w:sz w:val="24"/>
              </w:rPr>
              <w:t>工程水文学</w:t>
            </w:r>
          </w:p>
        </w:tc>
      </w:tr>
      <w:tr w:rsidR="002244C5">
        <w:trPr>
          <w:trHeight w:val="6051"/>
        </w:trPr>
        <w:tc>
          <w:tcPr>
            <w:tcW w:w="1965" w:type="dxa"/>
            <w:vAlign w:val="center"/>
          </w:tcPr>
          <w:p w:rsidR="002244C5" w:rsidRDefault="00695C25">
            <w:pPr>
              <w:jc w:val="center"/>
              <w:rPr>
                <w:sz w:val="24"/>
              </w:rPr>
            </w:pPr>
            <w:r>
              <w:rPr>
                <w:rFonts w:hint="eastAsia"/>
                <w:sz w:val="24"/>
              </w:rPr>
              <w:t>成果简介</w:t>
            </w:r>
          </w:p>
        </w:tc>
        <w:tc>
          <w:tcPr>
            <w:tcW w:w="7710" w:type="dxa"/>
            <w:gridSpan w:val="5"/>
          </w:tcPr>
          <w:p w:rsidR="002244C5" w:rsidRDefault="00695C25">
            <w:pPr>
              <w:rPr>
                <w:rFonts w:ascii="Times New Roman" w:hAnsi="Times New Roman"/>
                <w:b/>
              </w:rPr>
            </w:pPr>
            <w:r>
              <w:rPr>
                <w:rFonts w:ascii="Times New Roman" w:hAnsi="Times New Roman" w:hint="eastAsia"/>
                <w:b/>
              </w:rPr>
              <w:t>一、主要内容</w:t>
            </w:r>
          </w:p>
          <w:p w:rsidR="00BC4243" w:rsidRPr="00BC4243" w:rsidRDefault="00BC4243" w:rsidP="00BC4243">
            <w:pPr>
              <w:spacing w:line="440" w:lineRule="exact"/>
              <w:ind w:firstLine="482"/>
              <w:rPr>
                <w:rFonts w:ascii="宋体" w:hAnsi="宋体"/>
                <w:szCs w:val="21"/>
              </w:rPr>
            </w:pPr>
            <w:r w:rsidRPr="00BC4243">
              <w:rPr>
                <w:rFonts w:ascii="宋体" w:hAnsi="宋体"/>
                <w:szCs w:val="21"/>
              </w:rPr>
              <w:t>以往对超标洪水的应急测报方法多局限于人工观测投掷的浮标或抓取河流漂浮物，测报精度低、时效性慢，受到人工作业场地限制且存在安全风险。鉴于此，进行基于北斗GPS的超标洪水测报技术创新与应用研究，旨在提升观测便捷性、准确性及时效性，实现超标洪水自动化、便捷化、实效化测报。</w:t>
            </w:r>
          </w:p>
          <w:p w:rsidR="002244C5" w:rsidRDefault="002244C5">
            <w:pPr>
              <w:rPr>
                <w:rFonts w:ascii="Times New Roman" w:hAnsi="Times New Roman"/>
                <w:b/>
              </w:rPr>
            </w:pPr>
          </w:p>
          <w:p w:rsidR="002244C5" w:rsidRDefault="00695C25">
            <w:pPr>
              <w:rPr>
                <w:rFonts w:ascii="Times New Roman" w:hAnsi="Times New Roman"/>
                <w:b/>
              </w:rPr>
            </w:pPr>
            <w:r>
              <w:rPr>
                <w:rFonts w:ascii="Times New Roman" w:hAnsi="Times New Roman" w:hint="eastAsia"/>
                <w:b/>
              </w:rPr>
              <w:t>二</w:t>
            </w:r>
            <w:r>
              <w:rPr>
                <w:rFonts w:ascii="Times New Roman" w:hAnsi="Times New Roman"/>
                <w:b/>
              </w:rPr>
              <w:t>、</w:t>
            </w:r>
            <w:r>
              <w:rPr>
                <w:rFonts w:ascii="Times New Roman" w:hAnsi="Times New Roman" w:hint="eastAsia"/>
                <w:b/>
              </w:rPr>
              <w:t>创新性和先进性</w:t>
            </w:r>
          </w:p>
          <w:p w:rsidR="00BC4243" w:rsidRPr="00BC4243" w:rsidRDefault="00BC4243" w:rsidP="00BC4243">
            <w:pPr>
              <w:spacing w:line="440" w:lineRule="exact"/>
              <w:ind w:firstLine="482"/>
              <w:rPr>
                <w:rFonts w:ascii="宋体" w:hAnsi="宋体"/>
                <w:szCs w:val="21"/>
              </w:rPr>
            </w:pPr>
            <w:r w:rsidRPr="00BC4243">
              <w:rPr>
                <w:rFonts w:ascii="宋体" w:hAnsi="宋体"/>
                <w:szCs w:val="21"/>
              </w:rPr>
              <w:t>本项目以超标洪水测报为研究出发点，以水动力学原理为基础，研发基于北斗GPS的超标洪水测报系统，实现电脑端和移动端系统平台可视化，根据智能浮标位置和移动时间计算流速和流向。</w:t>
            </w:r>
          </w:p>
          <w:p w:rsidR="00BC4243" w:rsidRPr="00BC4243" w:rsidRDefault="00BC4243" w:rsidP="00BC4243">
            <w:pPr>
              <w:spacing w:line="440" w:lineRule="exact"/>
              <w:ind w:firstLine="482"/>
              <w:rPr>
                <w:rFonts w:ascii="宋体" w:hAnsi="宋体"/>
                <w:szCs w:val="21"/>
              </w:rPr>
            </w:pPr>
            <w:r w:rsidRPr="00BC4243">
              <w:rPr>
                <w:rFonts w:ascii="宋体" w:hAnsi="宋体"/>
                <w:szCs w:val="21"/>
              </w:rPr>
              <w:t>（1）智能浮标设计及定位。采用3D打印技术进行设计，制作超标洪水测报流线型防水智能浮标，包括北斗GPS定位模块、数据收发模块、电池组续航模块等，其卫星定位模块利用差分定位原理，提供亚米级的高精度定位能力，保障了数据的精度；（2）流速计算算法优化。流速的计算算法利用水流特征对数据进行滤波计算，消除浮标因水流扰动带来的误差，保障了数据的准确性。另外，由于卫星定位的系统误差，每个点的定位和授时都存在精度偏差，为了降低由单点精度带来的误差，根据水流运动特征进行多点合并，根据首点和末点的距离和时间差计算此段的平均速度，有效降低由于卫星定位精度问题带来的系统误差。（3）系统平台可视化智能化测报。后台管理软件可以实时显示流速数据，并且有导入河道断面数据和实时水</w:t>
            </w:r>
            <w:r w:rsidRPr="00BC4243">
              <w:rPr>
                <w:rFonts w:ascii="宋体" w:hAnsi="宋体"/>
                <w:szCs w:val="21"/>
              </w:rPr>
              <w:lastRenderedPageBreak/>
              <w:t>位数据的接口，根据所测流速、断面数据和水位数据可以计算出所经过断面的流量值。</w:t>
            </w:r>
          </w:p>
          <w:p w:rsidR="00BC4243" w:rsidRPr="0047379A" w:rsidRDefault="00BC4243" w:rsidP="00BC4243">
            <w:pPr>
              <w:spacing w:line="440" w:lineRule="exact"/>
              <w:ind w:firstLine="482"/>
              <w:rPr>
                <w:rFonts w:ascii="宋体" w:hAnsi="宋体"/>
                <w:sz w:val="28"/>
                <w:szCs w:val="28"/>
              </w:rPr>
            </w:pPr>
            <w:r w:rsidRPr="00BC4243">
              <w:rPr>
                <w:rFonts w:ascii="宋体" w:hAnsi="宋体"/>
                <w:szCs w:val="21"/>
              </w:rPr>
              <w:t>该测报系统优势明显。一是适应性非常强，与其它流量测量方法相比，受自然环境及天气因素的影响非常小，不受能见度的限制，也不受下雨下雪等天气的影响。二是布放方式非常简单，测量人员与测量浮标之间无需通视，保障测量人员的安全。三是数据准确度和精度高，满足流量测报要求。采用差分技术使测量精度达到亚米级，利用流速的优化计算算法使得到的流速、流向数据的精度更高。四是数据获得的实时性和可视化。通过SIM卡将智能浮标测得数据实时传输到系统平台，现场工作人员和非现场工作人员可以同时看到测报成果，尤其满足极端天气和超标洪水测报的需求。</w:t>
            </w:r>
          </w:p>
          <w:p w:rsidR="002244C5" w:rsidRPr="00BC4243" w:rsidRDefault="002244C5">
            <w:pPr>
              <w:ind w:firstLineChars="200" w:firstLine="420"/>
            </w:pPr>
          </w:p>
        </w:tc>
      </w:tr>
      <w:tr w:rsidR="002244C5">
        <w:trPr>
          <w:trHeight w:val="708"/>
        </w:trPr>
        <w:tc>
          <w:tcPr>
            <w:tcW w:w="1965" w:type="dxa"/>
            <w:vAlign w:val="center"/>
          </w:tcPr>
          <w:p w:rsidR="002244C5" w:rsidRDefault="00695C25">
            <w:pPr>
              <w:jc w:val="center"/>
              <w:rPr>
                <w:sz w:val="24"/>
              </w:rPr>
            </w:pPr>
            <w:r>
              <w:rPr>
                <w:rFonts w:hint="eastAsia"/>
                <w:sz w:val="24"/>
              </w:rPr>
              <w:lastRenderedPageBreak/>
              <w:t>研究团队</w:t>
            </w:r>
          </w:p>
        </w:tc>
        <w:tc>
          <w:tcPr>
            <w:tcW w:w="7710" w:type="dxa"/>
            <w:gridSpan w:val="5"/>
            <w:vAlign w:val="center"/>
          </w:tcPr>
          <w:p w:rsidR="002244C5" w:rsidRDefault="00BC4243">
            <w:pPr>
              <w:rPr>
                <w:rFonts w:ascii="Times New Roman" w:hAnsi="Times New Roman"/>
                <w:szCs w:val="21"/>
              </w:rPr>
            </w:pPr>
            <w:r>
              <w:rPr>
                <w:rFonts w:ascii="Times New Roman" w:hAnsi="Times New Roman" w:hint="eastAsia"/>
                <w:szCs w:val="21"/>
              </w:rPr>
              <w:t>辽宁省沈阳水文局、北京益邦达科技发展有限公司</w:t>
            </w:r>
          </w:p>
        </w:tc>
      </w:tr>
      <w:tr w:rsidR="002244C5">
        <w:trPr>
          <w:trHeight w:val="776"/>
        </w:trPr>
        <w:tc>
          <w:tcPr>
            <w:tcW w:w="1965" w:type="dxa"/>
            <w:vAlign w:val="center"/>
          </w:tcPr>
          <w:p w:rsidR="002244C5" w:rsidRDefault="00695C25">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rsidR="002244C5" w:rsidRDefault="002244C5">
            <w:pPr>
              <w:rPr>
                <w:sz w:val="24"/>
              </w:rPr>
            </w:pPr>
          </w:p>
        </w:tc>
      </w:tr>
    </w:tbl>
    <w:p w:rsidR="002244C5" w:rsidRDefault="002244C5">
      <w:pPr>
        <w:jc w:val="left"/>
        <w:rPr>
          <w:sz w:val="24"/>
        </w:rPr>
      </w:pPr>
    </w:p>
    <w:sectPr w:rsidR="002244C5">
      <w:pgSz w:w="11906" w:h="16838"/>
      <w:pgMar w:top="1157" w:right="1246" w:bottom="930" w:left="142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4F"/>
    <w:rsid w:val="0014650B"/>
    <w:rsid w:val="001A104F"/>
    <w:rsid w:val="00207B85"/>
    <w:rsid w:val="002244C5"/>
    <w:rsid w:val="002B54C4"/>
    <w:rsid w:val="00311745"/>
    <w:rsid w:val="003A69FD"/>
    <w:rsid w:val="004F2A29"/>
    <w:rsid w:val="005842B6"/>
    <w:rsid w:val="00695C25"/>
    <w:rsid w:val="00734262"/>
    <w:rsid w:val="007D1307"/>
    <w:rsid w:val="007D2C22"/>
    <w:rsid w:val="00834318"/>
    <w:rsid w:val="008E4E44"/>
    <w:rsid w:val="00903693"/>
    <w:rsid w:val="00946CC4"/>
    <w:rsid w:val="00980FDC"/>
    <w:rsid w:val="00BC4243"/>
    <w:rsid w:val="00BD4EE4"/>
    <w:rsid w:val="00C57117"/>
    <w:rsid w:val="00C91DA9"/>
    <w:rsid w:val="00CF0F76"/>
    <w:rsid w:val="00D71F12"/>
    <w:rsid w:val="00DB45A0"/>
    <w:rsid w:val="00DC085E"/>
    <w:rsid w:val="00DC2495"/>
    <w:rsid w:val="00E10A3F"/>
    <w:rsid w:val="00E42C94"/>
    <w:rsid w:val="033B1C40"/>
    <w:rsid w:val="05A6663E"/>
    <w:rsid w:val="07152556"/>
    <w:rsid w:val="09747CC1"/>
    <w:rsid w:val="0D2D2418"/>
    <w:rsid w:val="0D8A4A39"/>
    <w:rsid w:val="0DB65D83"/>
    <w:rsid w:val="0FC7439C"/>
    <w:rsid w:val="0FFE4816"/>
    <w:rsid w:val="13AD3B76"/>
    <w:rsid w:val="13CF6149"/>
    <w:rsid w:val="1486395E"/>
    <w:rsid w:val="14E77C74"/>
    <w:rsid w:val="159C6745"/>
    <w:rsid w:val="15EF1056"/>
    <w:rsid w:val="176F6576"/>
    <w:rsid w:val="17D566A9"/>
    <w:rsid w:val="19045410"/>
    <w:rsid w:val="1A10270C"/>
    <w:rsid w:val="1A8A7C9F"/>
    <w:rsid w:val="1BFE01F2"/>
    <w:rsid w:val="1DB60C96"/>
    <w:rsid w:val="1E134609"/>
    <w:rsid w:val="1E71586B"/>
    <w:rsid w:val="213154A0"/>
    <w:rsid w:val="22B0631E"/>
    <w:rsid w:val="22E7665C"/>
    <w:rsid w:val="25173D85"/>
    <w:rsid w:val="28F07D6C"/>
    <w:rsid w:val="2BCE189E"/>
    <w:rsid w:val="31BF027C"/>
    <w:rsid w:val="346E45F6"/>
    <w:rsid w:val="36B94E1C"/>
    <w:rsid w:val="378B11C5"/>
    <w:rsid w:val="40D76EDC"/>
    <w:rsid w:val="42AC2B5E"/>
    <w:rsid w:val="48CD39CF"/>
    <w:rsid w:val="4B532AFE"/>
    <w:rsid w:val="4C2D103F"/>
    <w:rsid w:val="4F36018A"/>
    <w:rsid w:val="4FFA660B"/>
    <w:rsid w:val="51735E82"/>
    <w:rsid w:val="51AD4863"/>
    <w:rsid w:val="560C4F45"/>
    <w:rsid w:val="58D82076"/>
    <w:rsid w:val="5AA4471C"/>
    <w:rsid w:val="5F55579A"/>
    <w:rsid w:val="5F9F133E"/>
    <w:rsid w:val="5FC66839"/>
    <w:rsid w:val="60786B61"/>
    <w:rsid w:val="612E63A6"/>
    <w:rsid w:val="64207169"/>
    <w:rsid w:val="64F9220A"/>
    <w:rsid w:val="6A2D156B"/>
    <w:rsid w:val="6A6869BA"/>
    <w:rsid w:val="6B982607"/>
    <w:rsid w:val="6EE65443"/>
    <w:rsid w:val="6F3E1B15"/>
    <w:rsid w:val="6FB9649B"/>
    <w:rsid w:val="6FF47A88"/>
    <w:rsid w:val="70254D2C"/>
    <w:rsid w:val="731A4C17"/>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178</Words>
  <Characters>1016</Characters>
  <Application>Microsoft Office Word</Application>
  <DocSecurity>0</DocSecurity>
  <Lines>8</Lines>
  <Paragraphs>2</Paragraphs>
  <ScaleCrop>false</ScaleCrop>
  <Company>Microsoft</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world</cp:lastModifiedBy>
  <cp:revision>9</cp:revision>
  <cp:lastPrinted>2018-03-09T05:43:00Z</cp:lastPrinted>
  <dcterms:created xsi:type="dcterms:W3CDTF">2018-03-26T02:28:00Z</dcterms:created>
  <dcterms:modified xsi:type="dcterms:W3CDTF">2022-09-15T00:45:00Z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