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BF7B0">
      <w:pPr>
        <w:widowControl/>
        <w:jc w:val="left"/>
        <w:rPr>
          <w:rFonts w:eastAsia="黑体"/>
          <w:szCs w:val="32"/>
        </w:rPr>
      </w:pPr>
      <w:bookmarkStart w:id="0" w:name="_GoBack"/>
      <w:bookmarkEnd w:id="0"/>
      <w:r>
        <w:rPr>
          <w:rFonts w:hint="eastAsia" w:eastAsia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9CEF641">
      <w:pPr>
        <w:widowControl/>
        <w:jc w:val="center"/>
        <w:rPr>
          <w:rFonts w:eastAsia="黑体"/>
          <w:snapToGrid w:val="0"/>
          <w:kern w:val="0"/>
          <w:sz w:val="44"/>
          <w:szCs w:val="44"/>
        </w:rPr>
      </w:pPr>
    </w:p>
    <w:p w14:paraId="76293886">
      <w:pPr>
        <w:widowControl/>
        <w:jc w:val="center"/>
        <w:rPr>
          <w:rFonts w:eastAsia="黑体"/>
          <w:snapToGrid w:val="0"/>
          <w:kern w:val="0"/>
          <w:sz w:val="44"/>
          <w:szCs w:val="44"/>
        </w:rPr>
      </w:pPr>
    </w:p>
    <w:p w14:paraId="57C0BE98">
      <w:pPr>
        <w:widowControl/>
        <w:jc w:val="center"/>
        <w:rPr>
          <w:rFonts w:eastAsia="黑体"/>
          <w:snapToGrid w:val="0"/>
          <w:kern w:val="0"/>
          <w:sz w:val="44"/>
          <w:szCs w:val="44"/>
        </w:rPr>
      </w:pPr>
      <w:r>
        <w:rPr>
          <w:rFonts w:hint="eastAsia" w:eastAsia="黑体"/>
          <w:snapToGrid w:val="0"/>
          <w:kern w:val="0"/>
          <w:sz w:val="44"/>
          <w:szCs w:val="44"/>
        </w:rPr>
        <w:t>《辽宁省农村应急供水技术标准》</w:t>
      </w:r>
    </w:p>
    <w:p w14:paraId="76269854">
      <w:pPr>
        <w:widowControl/>
        <w:jc w:val="center"/>
        <w:rPr>
          <w:snapToGrid w:val="0"/>
          <w:kern w:val="0"/>
          <w:szCs w:val="32"/>
        </w:rPr>
      </w:pPr>
    </w:p>
    <w:p w14:paraId="5167FE07">
      <w:pPr>
        <w:widowControl/>
        <w:jc w:val="center"/>
        <w:rPr>
          <w:snapToGrid w:val="0"/>
          <w:kern w:val="0"/>
          <w:szCs w:val="32"/>
        </w:rPr>
      </w:pPr>
      <w:r>
        <w:rPr>
          <w:rFonts w:hint="eastAsia"/>
          <w:snapToGrid w:val="0"/>
          <w:kern w:val="0"/>
          <w:szCs w:val="32"/>
        </w:rPr>
        <w:t>（</w:t>
      </w:r>
      <w:r>
        <w:rPr>
          <w:rFonts w:ascii="Segoe UI Symbol" w:hAnsi="Segoe UI Symbol" w:cs="Segoe UI Symbol"/>
          <w:snapToGrid w:val="0"/>
          <w:kern w:val="0"/>
          <w:szCs w:val="32"/>
        </w:rPr>
        <w:t>☑</w:t>
      </w:r>
      <w:r>
        <w:rPr>
          <w:rFonts w:hint="eastAsia"/>
          <w:snapToGrid w:val="0"/>
          <w:kern w:val="0"/>
          <w:szCs w:val="32"/>
        </w:rPr>
        <w:t>征求意见稿</w:t>
      </w:r>
      <w:r>
        <w:rPr>
          <w:snapToGrid w:val="0"/>
          <w:kern w:val="0"/>
          <w:szCs w:val="32"/>
        </w:rPr>
        <w:t xml:space="preserve">  </w:t>
      </w:r>
      <w:r>
        <w:rPr>
          <w:snapToGrid w:val="0"/>
          <w:kern w:val="0"/>
          <w:szCs w:val="32"/>
        </w:rPr>
        <w:sym w:font="Wingdings 2" w:char="00A3"/>
      </w:r>
      <w:r>
        <w:rPr>
          <w:rFonts w:hint="eastAsia"/>
          <w:snapToGrid w:val="0"/>
          <w:kern w:val="0"/>
          <w:szCs w:val="32"/>
        </w:rPr>
        <w:t>送审稿</w:t>
      </w:r>
      <w:r>
        <w:rPr>
          <w:snapToGrid w:val="0"/>
          <w:kern w:val="0"/>
          <w:szCs w:val="32"/>
        </w:rPr>
        <w:t xml:space="preserve">  </w:t>
      </w:r>
      <w:r>
        <w:rPr>
          <w:snapToGrid w:val="0"/>
          <w:kern w:val="0"/>
          <w:szCs w:val="32"/>
        </w:rPr>
        <w:sym w:font="Wingdings 2" w:char="00A3"/>
      </w:r>
      <w:r>
        <w:rPr>
          <w:rFonts w:hint="eastAsia"/>
          <w:snapToGrid w:val="0"/>
          <w:kern w:val="0"/>
          <w:szCs w:val="32"/>
        </w:rPr>
        <w:t>报批稿）</w:t>
      </w:r>
    </w:p>
    <w:p w14:paraId="63B896EE">
      <w:pPr>
        <w:jc w:val="center"/>
        <w:rPr>
          <w:szCs w:val="32"/>
        </w:rPr>
      </w:pPr>
    </w:p>
    <w:p w14:paraId="4E6F1F53">
      <w:pPr>
        <w:jc w:val="center"/>
        <w:rPr>
          <w:szCs w:val="32"/>
        </w:rPr>
      </w:pPr>
    </w:p>
    <w:p w14:paraId="3546A32C">
      <w:pPr>
        <w:jc w:val="center"/>
        <w:rPr>
          <w:szCs w:val="32"/>
        </w:rPr>
      </w:pPr>
    </w:p>
    <w:p w14:paraId="32703F7D">
      <w:pPr>
        <w:widowControl/>
        <w:jc w:val="center"/>
        <w:rPr>
          <w:rFonts w:eastAsia="黑体"/>
          <w:snapToGrid w:val="0"/>
          <w:kern w:val="0"/>
          <w:sz w:val="44"/>
          <w:szCs w:val="44"/>
        </w:rPr>
      </w:pPr>
      <w:r>
        <w:rPr>
          <w:rFonts w:hint="eastAsia" w:eastAsia="黑体"/>
          <w:snapToGrid w:val="0"/>
          <w:kern w:val="0"/>
          <w:sz w:val="44"/>
          <w:szCs w:val="44"/>
        </w:rPr>
        <w:t>编制说明</w:t>
      </w:r>
    </w:p>
    <w:p w14:paraId="3278ABCF">
      <w:pPr>
        <w:widowControl/>
        <w:jc w:val="center"/>
        <w:rPr>
          <w:rFonts w:eastAsia="黑体"/>
          <w:snapToGrid w:val="0"/>
          <w:kern w:val="0"/>
          <w:sz w:val="30"/>
          <w:szCs w:val="30"/>
          <w:u w:val="single"/>
        </w:rPr>
      </w:pPr>
    </w:p>
    <w:p w14:paraId="2F40557F">
      <w:pPr>
        <w:widowControl/>
        <w:jc w:val="center"/>
        <w:rPr>
          <w:rFonts w:eastAsia="黑体"/>
          <w:snapToGrid w:val="0"/>
          <w:kern w:val="0"/>
          <w:sz w:val="30"/>
          <w:szCs w:val="30"/>
          <w:u w:val="single"/>
        </w:rPr>
      </w:pPr>
    </w:p>
    <w:p w14:paraId="65D1C95C">
      <w:pPr>
        <w:widowControl/>
        <w:rPr>
          <w:rFonts w:eastAsia="黑体"/>
          <w:snapToGrid w:val="0"/>
          <w:kern w:val="0"/>
          <w:sz w:val="30"/>
          <w:szCs w:val="30"/>
          <w:u w:val="single"/>
        </w:rPr>
      </w:pPr>
    </w:p>
    <w:p w14:paraId="2B3D804B">
      <w:pPr>
        <w:widowControl/>
        <w:jc w:val="center"/>
        <w:rPr>
          <w:rFonts w:eastAsia="黑体"/>
          <w:snapToGrid w:val="0"/>
          <w:kern w:val="0"/>
          <w:sz w:val="30"/>
          <w:szCs w:val="30"/>
          <w:u w:val="single"/>
        </w:rPr>
      </w:pPr>
    </w:p>
    <w:p w14:paraId="0193E1F0">
      <w:pPr>
        <w:pStyle w:val="2"/>
        <w:rPr>
          <w:rFonts w:ascii="Times New Roman" w:hAnsi="Times New Roman"/>
        </w:rPr>
      </w:pPr>
    </w:p>
    <w:p w14:paraId="66381FFF">
      <w:pPr>
        <w:widowControl/>
        <w:rPr>
          <w:rFonts w:eastAsia="黑体"/>
          <w:snapToGrid w:val="0"/>
          <w:kern w:val="0"/>
          <w:sz w:val="30"/>
          <w:szCs w:val="30"/>
          <w:u w:val="single"/>
        </w:rPr>
      </w:pPr>
    </w:p>
    <w:tbl>
      <w:tblPr>
        <w:tblStyle w:val="6"/>
        <w:tblW w:w="7284" w:type="dxa"/>
        <w:tblInd w:w="5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5367"/>
      </w:tblGrid>
      <w:tr w14:paraId="75F9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5B7AF15F">
            <w:pPr>
              <w:pStyle w:val="2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hint="eastAsia" w:ascii="Times New Roman" w:hAnsi="Times New Roman"/>
                <w:sz w:val="32"/>
                <w:szCs w:val="32"/>
              </w:rPr>
              <w:t>主编单位：</w:t>
            </w:r>
          </w:p>
        </w:tc>
        <w:tc>
          <w:tcPr>
            <w:tcW w:w="5367" w:type="dxa"/>
            <w:tcBorders>
              <w:top w:val="nil"/>
              <w:left w:val="nil"/>
              <w:right w:val="nil"/>
            </w:tcBorders>
          </w:tcPr>
          <w:p w14:paraId="63377B02">
            <w:pPr>
              <w:pStyle w:val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辽宁省水利事务服务中心</w:t>
            </w:r>
          </w:p>
        </w:tc>
      </w:tr>
    </w:tbl>
    <w:p w14:paraId="124583C7">
      <w:pPr>
        <w:widowControl/>
        <w:rPr>
          <w:rFonts w:eastAsia="黑体"/>
          <w:snapToGrid w:val="0"/>
          <w:kern w:val="0"/>
          <w:sz w:val="30"/>
          <w:szCs w:val="30"/>
          <w:u w:val="single"/>
        </w:rPr>
      </w:pPr>
    </w:p>
    <w:p w14:paraId="4C215C3F">
      <w:pPr>
        <w:pStyle w:val="2"/>
        <w:jc w:val="center"/>
        <w:rPr>
          <w:rFonts w:ascii="Times New Roman" w:hAnsi="Times New Roman"/>
          <w:snapToGrid w:val="0"/>
          <w:kern w:val="0"/>
          <w:sz w:val="32"/>
          <w:szCs w:val="32"/>
        </w:rPr>
      </w:pPr>
    </w:p>
    <w:p w14:paraId="477299AB">
      <w:pPr>
        <w:pStyle w:val="2"/>
        <w:jc w:val="center"/>
        <w:rPr>
          <w:rFonts w:ascii="Times New Roman" w:hAnsi="Times New Roman"/>
          <w:snapToGrid w:val="0"/>
          <w:kern w:val="0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snapToGrid w:val="0"/>
          <w:kern w:val="0"/>
          <w:sz w:val="32"/>
          <w:szCs w:val="32"/>
        </w:rPr>
        <w:t>2</w:t>
      </w:r>
      <w:r>
        <w:rPr>
          <w:rFonts w:ascii="Times New Roman" w:hAnsi="Times New Roman"/>
          <w:snapToGrid w:val="0"/>
          <w:kern w:val="0"/>
          <w:sz w:val="32"/>
          <w:szCs w:val="32"/>
        </w:rPr>
        <w:t>026</w:t>
      </w:r>
      <w:r>
        <w:rPr>
          <w:rFonts w:hint="eastAsia" w:ascii="Times New Roman" w:hAnsi="Times New Roman"/>
          <w:snapToGrid w:val="0"/>
          <w:kern w:val="0"/>
          <w:sz w:val="32"/>
          <w:szCs w:val="32"/>
        </w:rPr>
        <w:t>年</w:t>
      </w:r>
      <w:r>
        <w:rPr>
          <w:rFonts w:ascii="Times New Roman" w:hAnsi="Times New Roman"/>
          <w:snapToGrid w:val="0"/>
          <w:kern w:val="0"/>
          <w:sz w:val="32"/>
          <w:szCs w:val="32"/>
        </w:rPr>
        <w:t>9</w:t>
      </w:r>
      <w:r>
        <w:rPr>
          <w:rFonts w:hint="eastAsia" w:ascii="Times New Roman" w:hAnsi="Times New Roman"/>
          <w:snapToGrid w:val="0"/>
          <w:kern w:val="0"/>
          <w:sz w:val="32"/>
          <w:szCs w:val="32"/>
        </w:rPr>
        <w:t>月</w:t>
      </w:r>
      <w:r>
        <w:rPr>
          <w:rFonts w:ascii="Times New Roman" w:hAnsi="Times New Roman"/>
          <w:snapToGrid w:val="0"/>
          <w:kern w:val="0"/>
          <w:sz w:val="32"/>
          <w:szCs w:val="32"/>
        </w:rPr>
        <w:t>17</w:t>
      </w:r>
      <w:r>
        <w:rPr>
          <w:rFonts w:hint="eastAsia" w:ascii="Times New Roman" w:hAnsi="Times New Roman"/>
          <w:snapToGrid w:val="0"/>
          <w:kern w:val="0"/>
          <w:sz w:val="32"/>
          <w:szCs w:val="32"/>
        </w:rPr>
        <w:t>日</w:t>
      </w:r>
    </w:p>
    <w:p w14:paraId="5FE9DF96">
      <w:pPr>
        <w:pStyle w:val="2"/>
        <w:jc w:val="center"/>
        <w:rPr>
          <w:sz w:val="44"/>
          <w:szCs w:val="44"/>
        </w:rPr>
      </w:pPr>
      <w:r>
        <w:rPr>
          <w:rFonts w:hint="eastAsia" w:eastAsia="黑体"/>
          <w:sz w:val="44"/>
          <w:szCs w:val="44"/>
        </w:rPr>
        <w:t>编制说明</w:t>
      </w:r>
    </w:p>
    <w:p w14:paraId="6DC2FA6B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一、工作简况</w:t>
      </w:r>
    </w:p>
    <w:p w14:paraId="0E27FB33">
      <w:pPr>
        <w:spacing w:line="60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任务来源：为规范辽宁省农村供水突发事件预防、响应和处置，提升应急供水保障能力，辽宁省水利事务服务中心立项了“辽宁省农村供水应急预案”项目，其中任务之一为辽宁省农村应急供水技术标准编制。</w:t>
      </w:r>
    </w:p>
    <w:p w14:paraId="09178A44">
      <w:pPr>
        <w:spacing w:line="60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主编单位：辽宁省水利事务服务中心</w:t>
      </w:r>
    </w:p>
    <w:p w14:paraId="25BEC800">
      <w:pPr>
        <w:spacing w:line="60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参编单位：中国水利水电科学研究院</w:t>
      </w:r>
    </w:p>
    <w:p w14:paraId="3032A6F6">
      <w:pPr>
        <w:spacing w:line="60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主要工作过程：2</w:t>
      </w:r>
      <w:r>
        <w:rPr>
          <w:szCs w:val="32"/>
        </w:rPr>
        <w:t>026年</w:t>
      </w:r>
      <w:r>
        <w:rPr>
          <w:rFonts w:hint="eastAsia"/>
          <w:szCs w:val="32"/>
        </w:rPr>
        <w:t>4月向辽宁省水利学会提交了项目申请材料，之后成立了编制组开展标准编制工作，2</w:t>
      </w:r>
      <w:r>
        <w:rPr>
          <w:szCs w:val="32"/>
        </w:rPr>
        <w:t>026年</w:t>
      </w:r>
      <w:r>
        <w:rPr>
          <w:rFonts w:hint="eastAsia"/>
          <w:szCs w:val="32"/>
        </w:rPr>
        <w:t>6月形成标准初稿。2</w:t>
      </w:r>
      <w:r>
        <w:rPr>
          <w:szCs w:val="32"/>
        </w:rPr>
        <w:t>026年</w:t>
      </w:r>
      <w:r>
        <w:rPr>
          <w:rFonts w:hint="eastAsia"/>
          <w:szCs w:val="32"/>
        </w:rPr>
        <w:t>8月召开了标准立项审查会，在论证了标准可行性的基础上，专家对初稿提出了修改意见，会后编制组针对专家意见对标准进行了修改完善，2</w:t>
      </w:r>
      <w:r>
        <w:rPr>
          <w:szCs w:val="32"/>
        </w:rPr>
        <w:t>026年</w:t>
      </w:r>
      <w:r>
        <w:rPr>
          <w:rFonts w:hint="eastAsia"/>
          <w:szCs w:val="32"/>
        </w:rPr>
        <w:t>9月形成了标准征求意见稿。</w:t>
      </w:r>
    </w:p>
    <w:p w14:paraId="332852AD">
      <w:pPr>
        <w:spacing w:line="60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主要起草人及其所做的工作：</w:t>
      </w:r>
    </w:p>
    <w:p w14:paraId="56CE7013">
      <w:pPr>
        <w:spacing w:line="600" w:lineRule="exact"/>
        <w:ind w:firstLine="640" w:firstLineChars="200"/>
        <w:jc w:val="center"/>
        <w:rPr>
          <w:szCs w:val="32"/>
        </w:rPr>
      </w:pPr>
      <w:r>
        <w:rPr>
          <w:szCs w:val="32"/>
        </w:rPr>
        <w:t>表</w:t>
      </w:r>
      <w:r>
        <w:rPr>
          <w:rFonts w:hint="eastAsia"/>
          <w:szCs w:val="32"/>
        </w:rPr>
        <w:t>1</w:t>
      </w:r>
      <w:r>
        <w:rPr>
          <w:szCs w:val="32"/>
        </w:rPr>
        <w:t xml:space="preserve"> 起草人分工表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176"/>
        <w:gridCol w:w="3736"/>
        <w:gridCol w:w="2179"/>
      </w:tblGrid>
      <w:tr w14:paraId="48C8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4DB958B">
            <w:pPr>
              <w:spacing w:line="600" w:lineRule="exact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序号</w:t>
            </w:r>
          </w:p>
        </w:tc>
        <w:tc>
          <w:tcPr>
            <w:tcW w:w="0" w:type="auto"/>
          </w:tcPr>
          <w:p w14:paraId="1731D30B">
            <w:pPr>
              <w:spacing w:line="600" w:lineRule="exact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姓名</w:t>
            </w:r>
          </w:p>
        </w:tc>
        <w:tc>
          <w:tcPr>
            <w:tcW w:w="0" w:type="auto"/>
          </w:tcPr>
          <w:p w14:paraId="01087110">
            <w:pPr>
              <w:spacing w:line="600" w:lineRule="exact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工作单位</w:t>
            </w:r>
          </w:p>
        </w:tc>
        <w:tc>
          <w:tcPr>
            <w:tcW w:w="0" w:type="auto"/>
          </w:tcPr>
          <w:p w14:paraId="20848D1A">
            <w:pPr>
              <w:spacing w:line="600" w:lineRule="exact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编制分工</w:t>
            </w:r>
          </w:p>
        </w:tc>
      </w:tr>
      <w:tr w14:paraId="1FE9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427D7B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1</w:t>
            </w:r>
          </w:p>
        </w:tc>
        <w:tc>
          <w:tcPr>
            <w:tcW w:w="0" w:type="auto"/>
          </w:tcPr>
          <w:p w14:paraId="1A72096B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解中辉</w:t>
            </w:r>
          </w:p>
        </w:tc>
        <w:tc>
          <w:tcPr>
            <w:tcW w:w="0" w:type="auto"/>
          </w:tcPr>
          <w:p w14:paraId="281A686B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5CD45ED9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主编</w:t>
            </w:r>
          </w:p>
        </w:tc>
      </w:tr>
      <w:tr w14:paraId="3A42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7206C6B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2</w:t>
            </w:r>
          </w:p>
        </w:tc>
        <w:tc>
          <w:tcPr>
            <w:tcW w:w="0" w:type="auto"/>
          </w:tcPr>
          <w:p w14:paraId="793B88D6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李 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</w:rPr>
              <w:t>斌</w:t>
            </w:r>
          </w:p>
        </w:tc>
        <w:tc>
          <w:tcPr>
            <w:tcW w:w="0" w:type="auto"/>
          </w:tcPr>
          <w:p w14:paraId="05101665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中国水利水电科学研究院</w:t>
            </w:r>
          </w:p>
        </w:tc>
        <w:tc>
          <w:tcPr>
            <w:tcW w:w="0" w:type="auto"/>
          </w:tcPr>
          <w:p w14:paraId="4ED02BD8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统稿负责人</w:t>
            </w:r>
          </w:p>
        </w:tc>
      </w:tr>
      <w:tr w14:paraId="7A377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0" w:type="auto"/>
          </w:tcPr>
          <w:p w14:paraId="0939E9E4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3</w:t>
            </w:r>
          </w:p>
        </w:tc>
        <w:tc>
          <w:tcPr>
            <w:tcW w:w="0" w:type="auto"/>
          </w:tcPr>
          <w:p w14:paraId="210240F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孙 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</w:rPr>
              <w:t>毅</w:t>
            </w:r>
          </w:p>
        </w:tc>
        <w:tc>
          <w:tcPr>
            <w:tcW w:w="0" w:type="auto"/>
          </w:tcPr>
          <w:p w14:paraId="3BB81FFF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076DAF26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第1</w:t>
            </w:r>
            <w:r>
              <w:rPr>
                <w:szCs w:val="32"/>
              </w:rPr>
              <w:t>-3章编写</w:t>
            </w:r>
          </w:p>
        </w:tc>
      </w:tr>
      <w:tr w14:paraId="470B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87B544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4</w:t>
            </w:r>
          </w:p>
        </w:tc>
        <w:tc>
          <w:tcPr>
            <w:tcW w:w="0" w:type="auto"/>
          </w:tcPr>
          <w:p w14:paraId="3FE6759E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王俊达</w:t>
            </w:r>
          </w:p>
        </w:tc>
        <w:tc>
          <w:tcPr>
            <w:tcW w:w="0" w:type="auto"/>
          </w:tcPr>
          <w:p w14:paraId="18BC9BF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133F4BC8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第1</w:t>
            </w:r>
            <w:r>
              <w:rPr>
                <w:szCs w:val="32"/>
              </w:rPr>
              <w:t>-3章编写</w:t>
            </w:r>
          </w:p>
        </w:tc>
      </w:tr>
      <w:tr w14:paraId="4FEFA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05F28BA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5</w:t>
            </w:r>
          </w:p>
        </w:tc>
        <w:tc>
          <w:tcPr>
            <w:tcW w:w="0" w:type="auto"/>
          </w:tcPr>
          <w:p w14:paraId="7967D08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邹添丞</w:t>
            </w:r>
          </w:p>
        </w:tc>
        <w:tc>
          <w:tcPr>
            <w:tcW w:w="0" w:type="auto"/>
          </w:tcPr>
          <w:p w14:paraId="376A7595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37904203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第4</w:t>
            </w:r>
            <w:r>
              <w:rPr>
                <w:szCs w:val="32"/>
              </w:rPr>
              <w:t>-5</w:t>
            </w:r>
            <w:r>
              <w:rPr>
                <w:rFonts w:hint="eastAsia"/>
                <w:szCs w:val="32"/>
              </w:rPr>
              <w:t>章编写</w:t>
            </w:r>
          </w:p>
        </w:tc>
      </w:tr>
      <w:tr w14:paraId="68D08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773009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6</w:t>
            </w:r>
          </w:p>
        </w:tc>
        <w:tc>
          <w:tcPr>
            <w:tcW w:w="0" w:type="auto"/>
          </w:tcPr>
          <w:p w14:paraId="5C24265E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李 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</w:rPr>
              <w:t>璇</w:t>
            </w:r>
          </w:p>
        </w:tc>
        <w:tc>
          <w:tcPr>
            <w:tcW w:w="0" w:type="auto"/>
          </w:tcPr>
          <w:p w14:paraId="570184C9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中国水利水电科学研究院</w:t>
            </w:r>
          </w:p>
        </w:tc>
        <w:tc>
          <w:tcPr>
            <w:tcW w:w="0" w:type="auto"/>
          </w:tcPr>
          <w:p w14:paraId="0C2EF375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第6</w:t>
            </w:r>
            <w:r>
              <w:rPr>
                <w:szCs w:val="32"/>
              </w:rPr>
              <w:t>-7章编写</w:t>
            </w:r>
          </w:p>
        </w:tc>
      </w:tr>
      <w:tr w14:paraId="2AE47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0" w:type="auto"/>
          </w:tcPr>
          <w:p w14:paraId="4439035C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7</w:t>
            </w:r>
          </w:p>
        </w:tc>
        <w:tc>
          <w:tcPr>
            <w:tcW w:w="0" w:type="auto"/>
          </w:tcPr>
          <w:p w14:paraId="012A97DC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刘克俭</w:t>
            </w:r>
          </w:p>
        </w:tc>
        <w:tc>
          <w:tcPr>
            <w:tcW w:w="0" w:type="auto"/>
          </w:tcPr>
          <w:p w14:paraId="7A96EEF8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383DE307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</w:t>
            </w:r>
            <w:r>
              <w:rPr>
                <w:szCs w:val="32"/>
              </w:rPr>
              <w:t>8章编写</w:t>
            </w:r>
          </w:p>
        </w:tc>
      </w:tr>
      <w:tr w14:paraId="6079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AFF6BB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8</w:t>
            </w:r>
          </w:p>
        </w:tc>
        <w:tc>
          <w:tcPr>
            <w:tcW w:w="0" w:type="auto"/>
          </w:tcPr>
          <w:p w14:paraId="05C2C48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王健骁</w:t>
            </w:r>
          </w:p>
        </w:tc>
        <w:tc>
          <w:tcPr>
            <w:tcW w:w="0" w:type="auto"/>
          </w:tcPr>
          <w:p w14:paraId="076D3925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辽宁省水利事务服务中心</w:t>
            </w:r>
          </w:p>
        </w:tc>
        <w:tc>
          <w:tcPr>
            <w:tcW w:w="0" w:type="auto"/>
          </w:tcPr>
          <w:p w14:paraId="5667986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第9章编写</w:t>
            </w:r>
          </w:p>
        </w:tc>
      </w:tr>
      <w:tr w14:paraId="3E764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379F2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9</w:t>
            </w:r>
          </w:p>
        </w:tc>
        <w:tc>
          <w:tcPr>
            <w:tcW w:w="0" w:type="auto"/>
          </w:tcPr>
          <w:p w14:paraId="19245EBD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刘行刚</w:t>
            </w:r>
          </w:p>
        </w:tc>
        <w:tc>
          <w:tcPr>
            <w:tcW w:w="0" w:type="auto"/>
          </w:tcPr>
          <w:p w14:paraId="4A7EC804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中国水利水电科学研究院</w:t>
            </w:r>
          </w:p>
        </w:tc>
        <w:tc>
          <w:tcPr>
            <w:tcW w:w="0" w:type="auto"/>
          </w:tcPr>
          <w:p w14:paraId="1988A5F0">
            <w:pPr>
              <w:spacing w:line="6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第9章编写</w:t>
            </w:r>
          </w:p>
        </w:tc>
      </w:tr>
    </w:tbl>
    <w:p w14:paraId="0AACB56C">
      <w:pPr>
        <w:spacing w:line="600" w:lineRule="exact"/>
        <w:ind w:firstLine="640" w:firstLineChars="200"/>
        <w:rPr>
          <w:szCs w:val="32"/>
        </w:rPr>
      </w:pPr>
    </w:p>
    <w:p w14:paraId="0515D68E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二、主要内容说明及来源依据</w:t>
      </w:r>
    </w:p>
    <w:p w14:paraId="77F751E9">
      <w:pPr>
        <w:spacing w:line="600" w:lineRule="exact"/>
        <w:ind w:firstLine="640" w:firstLineChars="200"/>
        <w:rPr>
          <w:kern w:val="0"/>
          <w:szCs w:val="32"/>
        </w:rPr>
      </w:pPr>
      <w:r>
        <w:rPr>
          <w:kern w:val="0"/>
          <w:szCs w:val="32"/>
        </w:rPr>
        <w:t xml:space="preserve">1. </w:t>
      </w:r>
      <w:r>
        <w:rPr>
          <w:rFonts w:hint="eastAsia"/>
          <w:kern w:val="0"/>
          <w:szCs w:val="32"/>
        </w:rPr>
        <w:t>技术指标、参数、公式、性能要求、试验方法、检验规则等的论据（包括试验、统计数据）。修订类标准，还应增列新旧标准技术内容的对比情况。</w:t>
      </w:r>
    </w:p>
    <w:p w14:paraId="4B906DEB">
      <w:pPr>
        <w:spacing w:line="600" w:lineRule="exact"/>
        <w:ind w:firstLine="640" w:firstLineChars="200"/>
        <w:rPr>
          <w:kern w:val="0"/>
          <w:szCs w:val="32"/>
        </w:rPr>
      </w:pPr>
      <w:r>
        <w:rPr>
          <w:rFonts w:hint="eastAsia"/>
          <w:kern w:val="0"/>
          <w:szCs w:val="32"/>
        </w:rPr>
        <w:t>标准中关于水质的要求来源于GB 5749中表1规定“当发生影响水质的突发公共事件时，经风险评估，感官性状和一般化学指标可暂时适当放宽。”</w:t>
      </w:r>
    </w:p>
    <w:p w14:paraId="006757BA">
      <w:pPr>
        <w:spacing w:line="600" w:lineRule="exact"/>
        <w:ind w:firstLine="640" w:firstLineChars="200"/>
        <w:rPr>
          <w:kern w:val="0"/>
          <w:szCs w:val="32"/>
        </w:rPr>
      </w:pPr>
      <w:r>
        <w:rPr>
          <w:kern w:val="0"/>
          <w:szCs w:val="32"/>
        </w:rPr>
        <w:t>部分水质指标来源于</w:t>
      </w:r>
      <w:r>
        <w:rPr>
          <w:rFonts w:hint="eastAsia"/>
          <w:kern w:val="0"/>
          <w:szCs w:val="32"/>
        </w:rPr>
        <w:t>WS/T 10038《突发饮用水污染事件应急供水水质卫生标准》规定，突发饮用水污染事件应急供水水质感官性状和一般化学指标及限值（限值为应急供水水质感官性状和一般化学指标的最低要求）如下：色度（铂钴色度单位）20度、浑浊度（散射浑浊度单位）5 NTU、无异臭和异味、无肉眼可见物、pH 6.5～9.0（采用反渗透应急供水方式或使用非金属材质管道应急供水时，pH限值按5.0～9.0执行）、铝0.3 mg/L、铁0.4 mg/L、锰0.4 mg/L、铜2.0 mg/L、锌3.0 mg/L、氯化物300 mg/L、硫酸盐300 mg/L、溶解性总固体1500 mg/L、总硬度（以CaCO</w:t>
      </w:r>
      <w:r>
        <w:rPr>
          <w:rFonts w:hint="eastAsia"/>
          <w:kern w:val="0"/>
          <w:szCs w:val="32"/>
          <w:vertAlign w:val="subscript"/>
        </w:rPr>
        <w:t>3</w:t>
      </w:r>
      <w:r>
        <w:rPr>
          <w:rFonts w:hint="eastAsia"/>
          <w:kern w:val="0"/>
          <w:szCs w:val="32"/>
        </w:rPr>
        <w:t>计）550 mg/L、高锰酸盐指数（以O</w:t>
      </w:r>
      <w:r>
        <w:rPr>
          <w:rFonts w:hint="eastAsia"/>
          <w:kern w:val="0"/>
          <w:szCs w:val="32"/>
          <w:vertAlign w:val="subscript"/>
        </w:rPr>
        <w:t>2</w:t>
      </w:r>
      <w:r>
        <w:rPr>
          <w:rFonts w:hint="eastAsia"/>
          <w:kern w:val="0"/>
          <w:szCs w:val="32"/>
        </w:rPr>
        <w:t>计）5 mg/L、氨（以N计）1.5 mg/L、钠300 mg/L、挥发酚（以苯酚计）0.005 mg/L、阴离子合成洗涤剂0.5 mg/L、2-甲基异莰醇0.00002 mg/L、土臭素0.00002 mg/L。</w:t>
      </w:r>
    </w:p>
    <w:p w14:paraId="23A611AC">
      <w:pPr>
        <w:spacing w:line="600" w:lineRule="exact"/>
        <w:ind w:firstLine="640" w:firstLineChars="200"/>
        <w:rPr>
          <w:kern w:val="0"/>
          <w:szCs w:val="32"/>
        </w:rPr>
      </w:pPr>
      <w:r>
        <w:rPr>
          <w:kern w:val="0"/>
          <w:szCs w:val="32"/>
        </w:rPr>
        <w:t xml:space="preserve">2. </w:t>
      </w:r>
      <w:r>
        <w:rPr>
          <w:rFonts w:hint="eastAsia"/>
          <w:kern w:val="0"/>
          <w:szCs w:val="32"/>
        </w:rPr>
        <w:t>主要试验（或验证）的分析、综述，技术经济论证。</w:t>
      </w:r>
    </w:p>
    <w:p w14:paraId="607E35BD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kern w:val="0"/>
          <w:szCs w:val="32"/>
        </w:rPr>
        <w:t>无。</w:t>
      </w:r>
    </w:p>
    <w:p w14:paraId="1E5C881D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三、专利情况说明</w:t>
      </w:r>
    </w:p>
    <w:p w14:paraId="074CB2B1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本标准不涉及专利问题。</w:t>
      </w:r>
    </w:p>
    <w:p w14:paraId="16B581C1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四、与相关标准的关系分析</w:t>
      </w:r>
    </w:p>
    <w:p w14:paraId="36D018D4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kern w:val="0"/>
          <w:sz w:val="32"/>
          <w:szCs w:val="32"/>
        </w:rPr>
        <w:t xml:space="preserve">1. </w:t>
      </w:r>
      <w:r>
        <w:rPr>
          <w:rFonts w:hint="eastAsia" w:ascii="Times New Roman" w:hAnsi="Times New Roman"/>
          <w:kern w:val="0"/>
          <w:sz w:val="32"/>
          <w:szCs w:val="32"/>
        </w:rPr>
        <w:t>与国际、国外同类标准水平的对比情况，或与测试的国外样品、样机的有关数据对比情况。</w:t>
      </w:r>
    </w:p>
    <w:p w14:paraId="688BB3FD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突发危机的应急保障一直是饮用水安全保障管理体系的重点内容。国际标准化组织（ISO）于2015年首次发布了《水务公司危机管理指南》（ISO/TS 24518），并于2017年发布了《供水排水服务管理-应急处置指南》（ISO/TS 24520），这两项标准作为供排水领域危机管理的基础性国际标准，可为饮用水应急保障服务类标准编制提供参考。</w:t>
      </w:r>
    </w:p>
    <w:p w14:paraId="08A74502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欧洲标准《饮用水供应安全 风险和危机管理指南</w:t>
      </w:r>
      <w:r>
        <w:rPr>
          <w:rFonts w:ascii="Times New Roman" w:hAnsi="Times New Roman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/>
          <w:kern w:val="0"/>
          <w:sz w:val="32"/>
          <w:szCs w:val="32"/>
        </w:rPr>
        <w:t>第1部分：危机管理》（EN 15975-1）和《饮用水供应安全 风险和危机管理指南</w:t>
      </w:r>
      <w:r>
        <w:rPr>
          <w:rFonts w:ascii="Times New Roman" w:hAnsi="Times New Roman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/>
          <w:kern w:val="0"/>
          <w:sz w:val="32"/>
          <w:szCs w:val="32"/>
        </w:rPr>
        <w:t>第2部分：风险管理》（EN 15975）系列明确了循环在危机管理中的应用。本导则可借鉴其系统化框架，强化事前风险评估和事后经验总结环节。</w:t>
      </w:r>
    </w:p>
    <w:p w14:paraId="312C8FD6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kern w:val="0"/>
          <w:sz w:val="32"/>
          <w:szCs w:val="32"/>
        </w:rPr>
        <w:t xml:space="preserve">2. </w:t>
      </w:r>
      <w:r>
        <w:rPr>
          <w:rFonts w:hint="eastAsia" w:ascii="Times New Roman" w:hAnsi="Times New Roman"/>
          <w:kern w:val="0"/>
          <w:sz w:val="32"/>
          <w:szCs w:val="32"/>
        </w:rPr>
        <w:t>与国内相关标准协调性分析</w:t>
      </w:r>
    </w:p>
    <w:p w14:paraId="675EFBD2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《村镇供水工程技术规范》（GB/T 43824-2024）首次将应急供水独立成章，系统规定了预案编制、应急水量、调水、净水工艺等核心要求。《农村生活饮用水量》（GB/T 11730）明确了应急状态下人均日供水量不低于15L，生存级不低于7.5L。《生活饮用水卫生标准》（GB 5749）规定了应急供水水质底线要求。</w:t>
      </w:r>
    </w:p>
    <w:p w14:paraId="0C8BA105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行业标准SL/T 874-2026《农村应急供水保障技术导则》由水利部于2026年2月25日发布，5月25日正式实施。SL/T 874作为全国通用标准，未针对北方低温冰雪灾害作出专项规定，SL/T 874-2026 为辽宁省导则提供了完整的技术框架和核心依据，两者不存在根本性冲突。本导则定位为行业标准的地方实施细则，遵循"不低于国家标准、突出地方特色"的原则，重点补充低温环境下管道防冻、设备设施保温、低温雨雪冰冻灾害应急处置和辽宁农村实际特点的内容，提高导则的针对性和可操作性。</w:t>
      </w:r>
    </w:p>
    <w:p w14:paraId="5E3FFF42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五、重大分歧或重难点的处理经过和依据</w:t>
      </w:r>
    </w:p>
    <w:p w14:paraId="56D94D5C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kern w:val="0"/>
          <w:sz w:val="32"/>
          <w:szCs w:val="32"/>
        </w:rPr>
        <w:t>无。</w:t>
      </w:r>
    </w:p>
    <w:p w14:paraId="0BE17D19">
      <w:pPr>
        <w:spacing w:line="60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六、预期效益（报批阶段填写）</w:t>
      </w:r>
    </w:p>
    <w:p w14:paraId="530C22BD">
      <w:pPr>
        <w:pStyle w:val="2"/>
        <w:spacing w:line="600" w:lineRule="exact"/>
        <w:ind w:firstLine="640" w:firstLineChars="200"/>
        <w:rPr>
          <w:kern w:val="0"/>
          <w:sz w:val="32"/>
          <w:szCs w:val="32"/>
        </w:rPr>
      </w:pPr>
      <w:r>
        <w:rPr>
          <w:rFonts w:hint="eastAsia" w:ascii="Times New Roman" w:hAnsi="Times New Roman"/>
          <w:kern w:val="0"/>
          <w:sz w:val="32"/>
          <w:szCs w:val="32"/>
        </w:rPr>
        <w:t>包括预期的经济效益、社会效益和生态环境效益。</w:t>
      </w:r>
    </w:p>
    <w:p w14:paraId="6494AE10">
      <w:pPr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七、其他说明事项</w:t>
      </w:r>
    </w:p>
    <w:p w14:paraId="404FF579">
      <w:pPr>
        <w:pStyle w:val="2"/>
        <w:spacing w:line="600" w:lineRule="exact"/>
        <w:ind w:firstLine="640" w:firstLineChars="200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kern w:val="0"/>
          <w:sz w:val="32"/>
          <w:szCs w:val="32"/>
        </w:rPr>
        <w:t>无。</w:t>
      </w:r>
    </w:p>
    <w:sectPr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57985875"/>
      <w:docPartObj>
        <w:docPartGallery w:val="autotext"/>
      </w:docPartObj>
    </w:sdtPr>
    <w:sdtContent>
      <w:p w14:paraId="76996895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E6F3BA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21A61"/>
    <w:rsid w:val="000669BA"/>
    <w:rsid w:val="00080452"/>
    <w:rsid w:val="00157F41"/>
    <w:rsid w:val="001A73E4"/>
    <w:rsid w:val="001C3BA5"/>
    <w:rsid w:val="003C5B21"/>
    <w:rsid w:val="0048100E"/>
    <w:rsid w:val="004872E6"/>
    <w:rsid w:val="00633D64"/>
    <w:rsid w:val="007E5653"/>
    <w:rsid w:val="00841473"/>
    <w:rsid w:val="00845553"/>
    <w:rsid w:val="00CC4C82"/>
    <w:rsid w:val="00D3677E"/>
    <w:rsid w:val="00DD709C"/>
    <w:rsid w:val="00E35E9F"/>
    <w:rsid w:val="00F6427F"/>
    <w:rsid w:val="01041E55"/>
    <w:rsid w:val="01521A61"/>
    <w:rsid w:val="02BD58CF"/>
    <w:rsid w:val="36AE05F5"/>
    <w:rsid w:val="4DE78A96"/>
    <w:rsid w:val="65A62E0C"/>
    <w:rsid w:val="68C1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kern w:val="20"/>
      <w:sz w:val="21"/>
      <w:szCs w:val="21"/>
    </w:r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Char"/>
    <w:basedOn w:val="8"/>
    <w:link w:val="4"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批注框文本 Char"/>
    <w:basedOn w:val="8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320</Words>
  <Characters>1829</Characters>
  <Lines>15</Lines>
  <Paragraphs>4</Paragraphs>
  <TotalTime>74</TotalTime>
  <ScaleCrop>false</ScaleCrop>
  <LinksUpToDate>false</LinksUpToDate>
  <CharactersWithSpaces>2145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2025-09-09T13:42:00Z</dcterms:created>
  <dc:creator>慈乐图文快印</dc:creator>
  <cp:lastModifiedBy>邹TC</cp:lastModifiedBy>
  <dcterms:modified xsi:type="dcterms:W3CDTF">2026-09-28T10:47:51Z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7738C7580C0947408CF2F406A7ADECBC</vt:lpwstr>
  </property>
  <property fmtid="{D5CDD505-2E9C-101B-9397-08002B2CF9AE}" pid="4" name="KSOTemplateDocerSaveRecord">
    <vt:lpwstr>eyJoZGlkIjoiZWY1ZDZhZTM2NjZjMjhlMGQ3ODBlZTllODA2YzU1OGIiLCJ1c2VySWQiOiI0NDQwNDE0NjIifQ==</vt:lpwstr>
  </property>
</Properties>
</file>