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5BB85C" w14:textId="77777777" w:rsidR="00AB4227" w:rsidRDefault="0048172D">
      <w:pPr>
        <w:adjustRightInd w:val="0"/>
        <w:snapToGrid w:val="0"/>
        <w:spacing w:line="360" w:lineRule="auto"/>
        <w:rPr>
          <w:rFonts w:cs="Times New Roman"/>
          <w:b/>
        </w:rPr>
      </w:pPr>
      <w:r>
        <w:rPr>
          <w:rFonts w:cs="Times New Roman"/>
          <w:b/>
        </w:rPr>
        <w:t>ICS</w:t>
      </w:r>
      <w:r>
        <w:rPr>
          <w:rFonts w:cs="Times New Roman"/>
          <w:b/>
        </w:rPr>
        <w:t>编号</w:t>
      </w:r>
    </w:p>
    <w:p w14:paraId="3DBC703F" w14:textId="77777777" w:rsidR="00AB4227" w:rsidRDefault="0048172D">
      <w:pPr>
        <w:adjustRightInd w:val="0"/>
        <w:snapToGrid w:val="0"/>
        <w:spacing w:line="360" w:lineRule="auto"/>
        <w:rPr>
          <w:rFonts w:cs="Times New Roman"/>
          <w:b/>
        </w:rPr>
      </w:pPr>
      <w:r>
        <w:rPr>
          <w:rFonts w:cs="Times New Roman"/>
          <w:b/>
        </w:rPr>
        <w:t>CCS</w:t>
      </w:r>
      <w:r>
        <w:rPr>
          <w:rFonts w:cs="Times New Roman"/>
          <w:b/>
        </w:rPr>
        <w:t>编号</w:t>
      </w:r>
    </w:p>
    <w:p w14:paraId="012AFE07" w14:textId="77777777" w:rsidR="00AB4227" w:rsidRDefault="0048172D">
      <w:pPr>
        <w:adjustRightInd w:val="0"/>
        <w:snapToGrid w:val="0"/>
        <w:spacing w:line="360" w:lineRule="auto"/>
        <w:jc w:val="distribute"/>
        <w:rPr>
          <w:rFonts w:eastAsia="华文中宋" w:cs="Times New Roman"/>
          <w:b/>
          <w:sz w:val="52"/>
          <w:szCs w:val="52"/>
        </w:rPr>
      </w:pPr>
      <w:r>
        <w:rPr>
          <w:rFonts w:eastAsia="华文中宋" w:cs="Times New Roman"/>
          <w:b/>
          <w:sz w:val="52"/>
          <w:szCs w:val="52"/>
        </w:rPr>
        <w:t>团体标准</w:t>
      </w:r>
    </w:p>
    <w:p w14:paraId="695FFD8D" w14:textId="77777777" w:rsidR="00AB4227" w:rsidRDefault="0048172D">
      <w:pPr>
        <w:adjustRightInd w:val="0"/>
        <w:snapToGrid w:val="0"/>
        <w:spacing w:line="360" w:lineRule="auto"/>
        <w:jc w:val="right"/>
        <w:rPr>
          <w:rFonts w:cs="Times New Roman"/>
          <w:b/>
          <w:sz w:val="28"/>
          <w:szCs w:val="28"/>
        </w:rPr>
      </w:pPr>
      <w:bookmarkStart w:id="0" w:name="_Toc12263"/>
      <w:bookmarkStart w:id="1" w:name="_Toc2924"/>
      <w:bookmarkStart w:id="2" w:name="_Toc7904"/>
      <w:r>
        <w:rPr>
          <w:rFonts w:cs="Times New Roman"/>
          <w:b/>
          <w:sz w:val="28"/>
          <w:szCs w:val="28"/>
        </w:rPr>
        <w:t>T/LNHES XXX—XXXX</w:t>
      </w:r>
      <w:bookmarkEnd w:id="0"/>
      <w:bookmarkEnd w:id="1"/>
      <w:bookmarkEnd w:id="2"/>
    </w:p>
    <w:p w14:paraId="228EEE1B" w14:textId="77777777" w:rsidR="00AB4227" w:rsidRDefault="0048172D">
      <w:pPr>
        <w:adjustRightInd w:val="0"/>
        <w:snapToGrid w:val="0"/>
        <w:spacing w:line="360" w:lineRule="auto"/>
        <w:rPr>
          <w:rFonts w:cs="Times New Roman"/>
        </w:rPr>
      </w:pPr>
      <w:r>
        <w:rPr>
          <w:rFonts w:cs="Times New Roman"/>
          <w:noProof/>
        </w:rPr>
        <mc:AlternateContent>
          <mc:Choice Requires="wps">
            <w:drawing>
              <wp:anchor distT="0" distB="0" distL="114300" distR="114300" simplePos="0" relativeHeight="251662336" behindDoc="0" locked="0" layoutInCell="1" allowOverlap="1" wp14:anchorId="4CDE1F7B" wp14:editId="006A94E5">
                <wp:simplePos x="0" y="0"/>
                <wp:positionH relativeFrom="column">
                  <wp:posOffset>257810</wp:posOffset>
                </wp:positionH>
                <wp:positionV relativeFrom="paragraph">
                  <wp:posOffset>99060</wp:posOffset>
                </wp:positionV>
                <wp:extent cx="5029200" cy="0"/>
                <wp:effectExtent l="0" t="9525" r="0" b="9525"/>
                <wp:wrapNone/>
                <wp:docPr id="14" name="直线 38"/>
                <wp:cNvGraphicFramePr/>
                <a:graphic xmlns:a="http://schemas.openxmlformats.org/drawingml/2006/main">
                  <a:graphicData uri="http://schemas.microsoft.com/office/word/2010/wordprocessingShape">
                    <wps:wsp>
                      <wps:cNvCnPr/>
                      <wps:spPr>
                        <a:xfrm>
                          <a:off x="0" y="0"/>
                          <a:ext cx="50292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38" o:spid="_x0000_s1026" o:spt="20" style="position:absolute;left:0pt;margin-left:20.3pt;margin-top:7.8pt;height:0pt;width:396pt;z-index:251662336;mso-width-relative:page;mso-height-relative:page;" filled="f" stroked="t" coordsize="21600,21600" o:gfxdata="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p1y3P1AAAAAgBAAAPAAAA&#10;AAAAAAEAIAAAACIAAABkcnMvZG93bnJldi54bWxQSwECFAAUAAAACACHTuJAlm8oI+ABAADSAwAA&#10;DgAAAAAAAAABACAAAAAjAQAAZHJzL2Uyb0RvYy54bWxQSwUGAAAAAAYABgBZAQAAdQUAAAAA&#10;">
                <v:fill on="f" focussize="0,0"/>
                <v:stroke weight="1.5pt" color="#000000" joinstyle="round"/>
                <v:imagedata o:title=""/>
                <o:lock v:ext="edit" aspectratio="f"/>
              </v:line>
            </w:pict>
          </mc:Fallback>
        </mc:AlternateContent>
      </w:r>
    </w:p>
    <w:p w14:paraId="6051459E" w14:textId="77777777" w:rsidR="00AB4227" w:rsidRDefault="00AB4227">
      <w:pPr>
        <w:adjustRightInd w:val="0"/>
        <w:snapToGrid w:val="0"/>
        <w:spacing w:line="360" w:lineRule="auto"/>
        <w:rPr>
          <w:rFonts w:cs="Times New Roman"/>
        </w:rPr>
      </w:pPr>
    </w:p>
    <w:p w14:paraId="28E8A700" w14:textId="77777777" w:rsidR="00AB4227" w:rsidRDefault="00AB4227">
      <w:pPr>
        <w:adjustRightInd w:val="0"/>
        <w:snapToGrid w:val="0"/>
        <w:spacing w:line="360" w:lineRule="auto"/>
        <w:rPr>
          <w:rFonts w:cs="Times New Roman"/>
        </w:rPr>
      </w:pPr>
    </w:p>
    <w:p w14:paraId="005B745C" w14:textId="77777777" w:rsidR="00AB4227" w:rsidRDefault="00AB4227">
      <w:pPr>
        <w:adjustRightInd w:val="0"/>
        <w:snapToGrid w:val="0"/>
        <w:spacing w:line="360" w:lineRule="auto"/>
        <w:rPr>
          <w:rFonts w:cs="Times New Roman"/>
        </w:rPr>
      </w:pPr>
    </w:p>
    <w:p w14:paraId="4F8B9A3A" w14:textId="77777777" w:rsidR="00AB4227" w:rsidRDefault="0048172D">
      <w:pPr>
        <w:adjustRightInd w:val="0"/>
        <w:snapToGrid w:val="0"/>
        <w:spacing w:line="360" w:lineRule="auto"/>
        <w:jc w:val="center"/>
        <w:rPr>
          <w:rFonts w:eastAsia="黑体" w:cs="Times New Roman"/>
          <w:b/>
          <w:bCs/>
          <w:sz w:val="52"/>
          <w:szCs w:val="52"/>
        </w:rPr>
      </w:pPr>
      <w:bookmarkStart w:id="3" w:name="_Toc32567"/>
      <w:bookmarkStart w:id="4" w:name="_Toc18069"/>
      <w:bookmarkStart w:id="5" w:name="_Toc4925"/>
      <w:r>
        <w:rPr>
          <w:rFonts w:eastAsia="黑体" w:cs="Times New Roman"/>
          <w:b/>
          <w:bCs/>
          <w:sz w:val="52"/>
          <w:szCs w:val="52"/>
        </w:rPr>
        <w:t>硝酸盐超标水生物法处理</w:t>
      </w:r>
      <w:bookmarkEnd w:id="3"/>
      <w:bookmarkEnd w:id="4"/>
      <w:bookmarkEnd w:id="5"/>
      <w:r>
        <w:rPr>
          <w:rFonts w:eastAsia="黑体" w:cs="Times New Roman"/>
          <w:b/>
          <w:bCs/>
          <w:sz w:val="52"/>
          <w:szCs w:val="52"/>
        </w:rPr>
        <w:t>技术规范</w:t>
      </w:r>
    </w:p>
    <w:p w14:paraId="39A894BD" w14:textId="77777777" w:rsidR="00AB4227" w:rsidRDefault="00AB4227">
      <w:pPr>
        <w:adjustRightInd w:val="0"/>
        <w:snapToGrid w:val="0"/>
        <w:spacing w:line="360" w:lineRule="auto"/>
        <w:jc w:val="center"/>
        <w:rPr>
          <w:rFonts w:cs="Times New Roman"/>
          <w:b/>
          <w:sz w:val="28"/>
          <w:szCs w:val="28"/>
        </w:rPr>
      </w:pPr>
    </w:p>
    <w:p w14:paraId="135EED94" w14:textId="77777777" w:rsidR="00AB4227" w:rsidRDefault="0048172D">
      <w:pPr>
        <w:adjustRightInd w:val="0"/>
        <w:snapToGrid w:val="0"/>
        <w:spacing w:line="360" w:lineRule="auto"/>
        <w:jc w:val="center"/>
        <w:rPr>
          <w:rFonts w:cs="Times New Roman"/>
          <w:b/>
          <w:sz w:val="28"/>
          <w:szCs w:val="28"/>
        </w:rPr>
      </w:pPr>
      <w:r>
        <w:rPr>
          <w:rFonts w:cs="Times New Roman"/>
          <w:b/>
          <w:sz w:val="28"/>
          <w:szCs w:val="28"/>
        </w:rPr>
        <w:t>Technical specification for biological treatment of nitrate excess water</w:t>
      </w:r>
    </w:p>
    <w:p w14:paraId="3BCD1537" w14:textId="77777777" w:rsidR="00AB4227" w:rsidRDefault="00AB4227">
      <w:pPr>
        <w:adjustRightInd w:val="0"/>
        <w:snapToGrid w:val="0"/>
        <w:spacing w:line="360" w:lineRule="auto"/>
        <w:rPr>
          <w:rFonts w:cs="Times New Roman"/>
        </w:rPr>
      </w:pPr>
    </w:p>
    <w:p w14:paraId="45B3BFA3" w14:textId="77777777" w:rsidR="00AB4227" w:rsidRDefault="00AB4227">
      <w:pPr>
        <w:adjustRightInd w:val="0"/>
        <w:snapToGrid w:val="0"/>
        <w:spacing w:line="360" w:lineRule="auto"/>
        <w:rPr>
          <w:rFonts w:cs="Times New Roman"/>
        </w:rPr>
      </w:pPr>
    </w:p>
    <w:p w14:paraId="1BCBB632" w14:textId="77777777" w:rsidR="00AB4227" w:rsidRDefault="0048172D">
      <w:pPr>
        <w:pStyle w:val="a1"/>
        <w:adjustRightInd w:val="0"/>
        <w:snapToGrid w:val="0"/>
        <w:spacing w:line="360" w:lineRule="auto"/>
        <w:jc w:val="center"/>
        <w:rPr>
          <w:rFonts w:cs="Times New Roman"/>
          <w:b/>
          <w:szCs w:val="32"/>
        </w:rPr>
      </w:pPr>
      <w:r>
        <w:rPr>
          <w:rFonts w:cs="Times New Roman"/>
          <w:b/>
          <w:szCs w:val="32"/>
        </w:rPr>
        <w:t>（征求意见稿）</w:t>
      </w:r>
    </w:p>
    <w:p w14:paraId="711957CE" w14:textId="77777777" w:rsidR="00AB4227" w:rsidRDefault="00AB4227">
      <w:pPr>
        <w:adjustRightInd w:val="0"/>
        <w:snapToGrid w:val="0"/>
        <w:spacing w:line="360" w:lineRule="auto"/>
        <w:rPr>
          <w:rFonts w:cs="Times New Roman"/>
        </w:rPr>
      </w:pPr>
    </w:p>
    <w:p w14:paraId="744A6A27" w14:textId="77777777" w:rsidR="00AB4227" w:rsidRDefault="00AB4227">
      <w:pPr>
        <w:pStyle w:val="a8"/>
        <w:adjustRightInd w:val="0"/>
        <w:snapToGrid w:val="0"/>
        <w:spacing w:line="360" w:lineRule="auto"/>
        <w:rPr>
          <w:rFonts w:ascii="Times New Roman" w:hAnsi="Times New Roman" w:cs="Times New Roman"/>
        </w:rPr>
      </w:pPr>
    </w:p>
    <w:p w14:paraId="65D73ECB" w14:textId="77777777" w:rsidR="00AB4227" w:rsidRDefault="00AB4227">
      <w:pPr>
        <w:pStyle w:val="a8"/>
        <w:adjustRightInd w:val="0"/>
        <w:snapToGrid w:val="0"/>
        <w:spacing w:line="360" w:lineRule="auto"/>
        <w:rPr>
          <w:rFonts w:ascii="Times New Roman" w:hAnsi="Times New Roman" w:cs="Times New Roman"/>
        </w:rPr>
      </w:pPr>
    </w:p>
    <w:p w14:paraId="0D90EFDB" w14:textId="77777777" w:rsidR="00AB4227" w:rsidRDefault="00AB4227">
      <w:pPr>
        <w:pStyle w:val="a8"/>
        <w:adjustRightInd w:val="0"/>
        <w:snapToGrid w:val="0"/>
        <w:spacing w:line="360" w:lineRule="auto"/>
        <w:rPr>
          <w:rFonts w:ascii="Times New Roman" w:hAnsi="Times New Roman" w:cs="Times New Roman"/>
        </w:rPr>
      </w:pPr>
    </w:p>
    <w:p w14:paraId="0C4E4C93" w14:textId="77777777" w:rsidR="00AB4227" w:rsidRDefault="00AB4227">
      <w:pPr>
        <w:adjustRightInd w:val="0"/>
        <w:snapToGrid w:val="0"/>
        <w:spacing w:line="360" w:lineRule="auto"/>
        <w:jc w:val="center"/>
        <w:rPr>
          <w:rFonts w:cs="Times New Roman"/>
          <w:sz w:val="28"/>
          <w:szCs w:val="28"/>
        </w:rPr>
      </w:pPr>
    </w:p>
    <w:p w14:paraId="32DC56BB" w14:textId="77777777" w:rsidR="00AB4227" w:rsidRDefault="00AB4227">
      <w:pPr>
        <w:adjustRightInd w:val="0"/>
        <w:snapToGrid w:val="0"/>
        <w:spacing w:line="360" w:lineRule="auto"/>
        <w:rPr>
          <w:rFonts w:cs="Times New Roman"/>
        </w:rPr>
      </w:pPr>
    </w:p>
    <w:p w14:paraId="49F807AB" w14:textId="77777777" w:rsidR="00AB4227" w:rsidRDefault="00AB4227">
      <w:pPr>
        <w:adjustRightInd w:val="0"/>
        <w:snapToGrid w:val="0"/>
        <w:spacing w:line="360" w:lineRule="auto"/>
        <w:rPr>
          <w:rFonts w:cs="Times New Roman"/>
        </w:rPr>
      </w:pPr>
    </w:p>
    <w:p w14:paraId="4B4B0CC1" w14:textId="77777777" w:rsidR="00AB4227" w:rsidRDefault="00AB4227">
      <w:pPr>
        <w:adjustRightInd w:val="0"/>
        <w:snapToGrid w:val="0"/>
        <w:spacing w:line="360" w:lineRule="auto"/>
        <w:rPr>
          <w:rFonts w:cs="Times New Roman"/>
        </w:rPr>
      </w:pPr>
    </w:p>
    <w:p w14:paraId="19351598" w14:textId="77777777" w:rsidR="00AB4227" w:rsidRDefault="0048172D">
      <w:pPr>
        <w:tabs>
          <w:tab w:val="right" w:pos="7920"/>
        </w:tabs>
        <w:adjustRightInd w:val="0"/>
        <w:snapToGrid w:val="0"/>
        <w:spacing w:line="360" w:lineRule="auto"/>
        <w:rPr>
          <w:rFonts w:cs="Times New Roman"/>
          <w:b/>
          <w:bCs/>
          <w:sz w:val="28"/>
          <w:szCs w:val="28"/>
        </w:rPr>
      </w:pPr>
      <w:r>
        <w:rPr>
          <w:rFonts w:cs="Times New Roman"/>
          <w:b/>
          <w:bCs/>
          <w:noProof/>
          <w:sz w:val="28"/>
          <w:szCs w:val="28"/>
        </w:rPr>
        <mc:AlternateContent>
          <mc:Choice Requires="wps">
            <w:drawing>
              <wp:anchor distT="0" distB="0" distL="114300" distR="114300" simplePos="0" relativeHeight="251663360" behindDoc="0" locked="0" layoutInCell="1" allowOverlap="1" wp14:anchorId="13DEB530" wp14:editId="61D9BB6B">
                <wp:simplePos x="0" y="0"/>
                <wp:positionH relativeFrom="column">
                  <wp:posOffset>0</wp:posOffset>
                </wp:positionH>
                <wp:positionV relativeFrom="paragraph">
                  <wp:posOffset>297180</wp:posOffset>
                </wp:positionV>
                <wp:extent cx="5029200" cy="0"/>
                <wp:effectExtent l="0" t="9525" r="0" b="9525"/>
                <wp:wrapNone/>
                <wp:docPr id="15" name="直线 39"/>
                <wp:cNvGraphicFramePr/>
                <a:graphic xmlns:a="http://schemas.openxmlformats.org/drawingml/2006/main">
                  <a:graphicData uri="http://schemas.microsoft.com/office/word/2010/wordprocessingShape">
                    <wps:wsp>
                      <wps:cNvCnPr/>
                      <wps:spPr>
                        <a:xfrm>
                          <a:off x="0" y="0"/>
                          <a:ext cx="50292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39" o:spid="_x0000_s1026" o:spt="20" style="position:absolute;left:0pt;margin-left:0pt;margin-top:23.4pt;height:0pt;width:396pt;z-index:251663360;mso-width-relative:page;mso-height-relative:page;" filled="f" stroked="t" coordsize="21600,21600" o:gfxdata="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gjw/3TAAAABgEAAA8AAAAA&#10;AAAAAQAgAAAAIgAAAGRycy9kb3ducmV2LnhtbFBLAQIUABQAAAAIAIdO4kBKdFaO4AEAANIDAAAO&#10;AAAAAAAAAAEAIAAAACIBAABkcnMvZTJvRG9jLnhtbFBLBQYAAAAABgAGAFkBAAB0BQAAAAA=&#10;">
                <v:fill on="f" focussize="0,0"/>
                <v:stroke weight="1.5pt" color="#000000" joinstyle="round"/>
                <v:imagedata o:title=""/>
                <o:lock v:ext="edit" aspectratio="f"/>
              </v:line>
            </w:pict>
          </mc:Fallback>
        </mc:AlternateContent>
      </w:r>
      <w:r>
        <w:rPr>
          <w:rFonts w:cs="Times New Roman"/>
          <w:b/>
          <w:bCs/>
          <w:sz w:val="28"/>
          <w:szCs w:val="28"/>
        </w:rPr>
        <w:t>20XX-XX-XX</w:t>
      </w:r>
      <w:r>
        <w:rPr>
          <w:rFonts w:cs="Times New Roman"/>
          <w:b/>
          <w:bCs/>
          <w:sz w:val="28"/>
          <w:szCs w:val="28"/>
        </w:rPr>
        <w:t>发布</w:t>
      </w:r>
      <w:r>
        <w:rPr>
          <w:rFonts w:cs="Times New Roman"/>
          <w:b/>
          <w:bCs/>
          <w:sz w:val="28"/>
          <w:szCs w:val="28"/>
        </w:rPr>
        <w:tab/>
        <w:t>20XX-XX-XX</w:t>
      </w:r>
      <w:r>
        <w:rPr>
          <w:rFonts w:cs="Times New Roman"/>
          <w:b/>
          <w:bCs/>
          <w:sz w:val="28"/>
          <w:szCs w:val="28"/>
        </w:rPr>
        <w:t>实施</w:t>
      </w:r>
    </w:p>
    <w:p w14:paraId="248A14A7" w14:textId="77777777" w:rsidR="00AB4227" w:rsidRDefault="0048172D">
      <w:pPr>
        <w:adjustRightInd w:val="0"/>
        <w:snapToGrid w:val="0"/>
        <w:spacing w:line="360" w:lineRule="auto"/>
        <w:jc w:val="center"/>
        <w:rPr>
          <w:rFonts w:eastAsia="仿宋_GB2312" w:cs="Times New Roman"/>
          <w:b/>
          <w:sz w:val="24"/>
        </w:rPr>
      </w:pPr>
      <w:bookmarkStart w:id="6" w:name="_Toc24781"/>
      <w:bookmarkStart w:id="7" w:name="_Toc9291"/>
      <w:bookmarkStart w:id="8" w:name="_Toc23465"/>
      <w:r>
        <w:rPr>
          <w:rFonts w:eastAsia="华文中宋" w:cs="Times New Roman"/>
          <w:b/>
          <w:sz w:val="32"/>
          <w:szCs w:val="32"/>
        </w:rPr>
        <w:t>辽宁省水利学会</w:t>
      </w:r>
      <w:r>
        <w:rPr>
          <w:rFonts w:cs="Times New Roman"/>
          <w:b/>
          <w:sz w:val="32"/>
          <w:szCs w:val="32"/>
        </w:rPr>
        <w:t> </w:t>
      </w:r>
      <w:r>
        <w:rPr>
          <w:rFonts w:eastAsia="黑体" w:cs="Times New Roman"/>
          <w:b/>
          <w:sz w:val="28"/>
          <w:szCs w:val="28"/>
        </w:rPr>
        <w:t>发布</w:t>
      </w:r>
      <w:bookmarkEnd w:id="6"/>
      <w:bookmarkEnd w:id="7"/>
      <w:bookmarkEnd w:id="8"/>
    </w:p>
    <w:p w14:paraId="22A9D3E9" w14:textId="77777777" w:rsidR="00AB4227" w:rsidRDefault="00AB4227">
      <w:pPr>
        <w:pStyle w:val="a8"/>
        <w:adjustRightInd w:val="0"/>
        <w:snapToGrid w:val="0"/>
        <w:spacing w:line="360" w:lineRule="auto"/>
        <w:jc w:val="center"/>
        <w:rPr>
          <w:rFonts w:ascii="Times New Roman" w:eastAsia="仿宋_GB2312" w:hAnsi="Times New Roman" w:cs="Times New Roman"/>
          <w:sz w:val="24"/>
          <w:szCs w:val="24"/>
        </w:rPr>
        <w:sectPr w:rsidR="00AB4227">
          <w:headerReference w:type="default" r:id="rId8"/>
          <w:footerReference w:type="default" r:id="rId9"/>
          <w:pgSz w:w="11906" w:h="16838"/>
          <w:pgMar w:top="2098" w:right="1474" w:bottom="2154" w:left="1587" w:header="851" w:footer="1587" w:gutter="0"/>
          <w:pgNumType w:fmt="numberInDash"/>
          <w:cols w:space="0"/>
          <w:docGrid w:type="lines" w:linePitch="312"/>
        </w:sectPr>
      </w:pPr>
    </w:p>
    <w:p w14:paraId="68336304" w14:textId="77777777" w:rsidR="00AB4227" w:rsidRDefault="0048172D">
      <w:pPr>
        <w:adjustRightInd w:val="0"/>
        <w:snapToGrid w:val="0"/>
        <w:spacing w:line="360" w:lineRule="auto"/>
        <w:jc w:val="center"/>
        <w:rPr>
          <w:rFonts w:eastAsia="黑体" w:cs="Times New Roman"/>
          <w:sz w:val="28"/>
          <w:szCs w:val="28"/>
        </w:rPr>
      </w:pPr>
      <w:r>
        <w:rPr>
          <w:rFonts w:eastAsia="黑体" w:cs="Times New Roman"/>
          <w:sz w:val="28"/>
          <w:szCs w:val="28"/>
        </w:rPr>
        <w:lastRenderedPageBreak/>
        <w:t>目</w:t>
      </w:r>
      <w:r>
        <w:rPr>
          <w:rFonts w:eastAsia="黑体" w:cs="Times New Roman"/>
          <w:sz w:val="28"/>
          <w:szCs w:val="28"/>
        </w:rPr>
        <w:t xml:space="preserve">  </w:t>
      </w:r>
      <w:r>
        <w:rPr>
          <w:rFonts w:eastAsia="黑体" w:cs="Times New Roman"/>
          <w:sz w:val="28"/>
          <w:szCs w:val="28"/>
        </w:rPr>
        <w:t>次</w:t>
      </w:r>
    </w:p>
    <w:p w14:paraId="166A7456" w14:textId="77777777" w:rsidR="00AB4227" w:rsidRDefault="0048172D">
      <w:pPr>
        <w:pStyle w:val="TOC1"/>
        <w:tabs>
          <w:tab w:val="right" w:leader="dot" w:pos="8845"/>
        </w:tabs>
      </w:pPr>
      <w:r>
        <w:rPr>
          <w:rFonts w:cs="Times New Roman"/>
        </w:rPr>
        <w:fldChar w:fldCharType="begin"/>
      </w:r>
      <w:r>
        <w:rPr>
          <w:rFonts w:cs="Times New Roman"/>
        </w:rPr>
        <w:instrText xml:space="preserve">TOC \o "1-2" \h \u </w:instrText>
      </w:r>
      <w:r>
        <w:rPr>
          <w:rFonts w:cs="Times New Roman"/>
        </w:rPr>
        <w:fldChar w:fldCharType="separate"/>
      </w:r>
      <w:hyperlink w:anchor="_Toc29646" w:history="1">
        <w:r>
          <w:rPr>
            <w:rFonts w:cs="Times New Roman"/>
            <w:bCs/>
            <w:szCs w:val="21"/>
          </w:rPr>
          <w:t xml:space="preserve">1 </w:t>
        </w:r>
        <w:r>
          <w:rPr>
            <w:rFonts w:cs="Times New Roman"/>
            <w:bCs/>
            <w:szCs w:val="21"/>
          </w:rPr>
          <w:t>范围</w:t>
        </w:r>
        <w:r>
          <w:tab/>
        </w:r>
        <w:r>
          <w:fldChar w:fldCharType="begin"/>
        </w:r>
        <w:r>
          <w:instrText xml:space="preserve"> PAGEREF _Toc29646 \h </w:instrText>
        </w:r>
        <w:r>
          <w:fldChar w:fldCharType="separate"/>
        </w:r>
        <w:r>
          <w:t>2</w:t>
        </w:r>
        <w:r>
          <w:fldChar w:fldCharType="end"/>
        </w:r>
      </w:hyperlink>
    </w:p>
    <w:p w14:paraId="0CFDBF97" w14:textId="77777777" w:rsidR="00AB4227" w:rsidRDefault="0048172D">
      <w:pPr>
        <w:pStyle w:val="TOC1"/>
        <w:tabs>
          <w:tab w:val="right" w:leader="dot" w:pos="8845"/>
        </w:tabs>
      </w:pPr>
      <w:hyperlink w:anchor="_Toc4544" w:history="1">
        <w:r>
          <w:rPr>
            <w:rFonts w:cs="Times New Roman"/>
            <w:bCs/>
            <w:szCs w:val="21"/>
          </w:rPr>
          <w:t xml:space="preserve">2 </w:t>
        </w:r>
        <w:r>
          <w:rPr>
            <w:rFonts w:cs="Times New Roman"/>
            <w:bCs/>
            <w:szCs w:val="21"/>
          </w:rPr>
          <w:t>规范性引用文件</w:t>
        </w:r>
        <w:r>
          <w:tab/>
        </w:r>
        <w:r>
          <w:fldChar w:fldCharType="begin"/>
        </w:r>
        <w:r>
          <w:instrText xml:space="preserve"> PAGEREF _Toc4544 \h </w:instrText>
        </w:r>
        <w:r>
          <w:fldChar w:fldCharType="separate"/>
        </w:r>
        <w:r>
          <w:t>2</w:t>
        </w:r>
        <w:r>
          <w:fldChar w:fldCharType="end"/>
        </w:r>
      </w:hyperlink>
    </w:p>
    <w:p w14:paraId="7DABCE1B" w14:textId="77777777" w:rsidR="00AB4227" w:rsidRDefault="0048172D">
      <w:pPr>
        <w:pStyle w:val="TOC1"/>
        <w:tabs>
          <w:tab w:val="right" w:leader="dot" w:pos="8845"/>
        </w:tabs>
      </w:pPr>
      <w:hyperlink w:anchor="_Toc6240" w:history="1">
        <w:r>
          <w:rPr>
            <w:rFonts w:cs="Times New Roman"/>
            <w:bCs/>
            <w:szCs w:val="21"/>
          </w:rPr>
          <w:t xml:space="preserve">3 </w:t>
        </w:r>
        <w:r>
          <w:rPr>
            <w:rFonts w:cs="Times New Roman"/>
            <w:bCs/>
            <w:kern w:val="44"/>
            <w:szCs w:val="21"/>
          </w:rPr>
          <w:t>术语和定义</w:t>
        </w:r>
        <w:r>
          <w:tab/>
        </w:r>
        <w:r>
          <w:fldChar w:fldCharType="begin"/>
        </w:r>
        <w:r>
          <w:instrText xml:space="preserve"> PAGEREF _Toc6240 \h </w:instrText>
        </w:r>
        <w:r>
          <w:fldChar w:fldCharType="separate"/>
        </w:r>
        <w:r>
          <w:t>2</w:t>
        </w:r>
        <w:r>
          <w:fldChar w:fldCharType="end"/>
        </w:r>
      </w:hyperlink>
    </w:p>
    <w:p w14:paraId="430EE23C" w14:textId="77777777" w:rsidR="00AB4227" w:rsidRDefault="0048172D">
      <w:pPr>
        <w:pStyle w:val="TOC1"/>
        <w:tabs>
          <w:tab w:val="right" w:leader="dot" w:pos="8845"/>
        </w:tabs>
      </w:pPr>
      <w:hyperlink w:anchor="_Toc8989" w:history="1">
        <w:r>
          <w:rPr>
            <w:rFonts w:cs="Times New Roman"/>
            <w:bCs/>
            <w:szCs w:val="21"/>
          </w:rPr>
          <w:t xml:space="preserve">4 </w:t>
        </w:r>
        <w:r>
          <w:rPr>
            <w:rFonts w:cs="Times New Roman"/>
            <w:bCs/>
            <w:szCs w:val="21"/>
          </w:rPr>
          <w:t>工艺选择原则</w:t>
        </w:r>
        <w:r>
          <w:tab/>
        </w:r>
        <w:r>
          <w:fldChar w:fldCharType="begin"/>
        </w:r>
        <w:r>
          <w:instrText xml:space="preserve"> PAGEREF _Toc8989 \h </w:instrText>
        </w:r>
        <w:r>
          <w:fldChar w:fldCharType="separate"/>
        </w:r>
        <w:r>
          <w:t>3</w:t>
        </w:r>
        <w:r>
          <w:fldChar w:fldCharType="end"/>
        </w:r>
      </w:hyperlink>
    </w:p>
    <w:p w14:paraId="2D09FE86" w14:textId="77777777" w:rsidR="00AB4227" w:rsidRDefault="0048172D">
      <w:pPr>
        <w:pStyle w:val="TOC1"/>
        <w:tabs>
          <w:tab w:val="right" w:leader="dot" w:pos="8845"/>
        </w:tabs>
      </w:pPr>
      <w:hyperlink w:anchor="_Toc7771" w:history="1">
        <w:r>
          <w:rPr>
            <w:rFonts w:cs="Times New Roman"/>
            <w:bCs/>
            <w:szCs w:val="21"/>
          </w:rPr>
          <w:t xml:space="preserve">5 </w:t>
        </w:r>
        <w:r>
          <w:rPr>
            <w:rFonts w:eastAsiaTheme="minorEastAsia" w:cs="Times New Roman"/>
            <w:bCs/>
            <w:kern w:val="44"/>
            <w:szCs w:val="21"/>
          </w:rPr>
          <w:t>工艺设计</w:t>
        </w:r>
        <w:r>
          <w:tab/>
        </w:r>
        <w:r>
          <w:fldChar w:fldCharType="begin"/>
        </w:r>
        <w:r>
          <w:instrText xml:space="preserve"> PAGEREF _Toc7771 \h </w:instrText>
        </w:r>
        <w:r>
          <w:fldChar w:fldCharType="separate"/>
        </w:r>
        <w:r>
          <w:t>3</w:t>
        </w:r>
        <w:r>
          <w:fldChar w:fldCharType="end"/>
        </w:r>
      </w:hyperlink>
    </w:p>
    <w:p w14:paraId="737635A4" w14:textId="77777777" w:rsidR="00AB4227" w:rsidRDefault="0048172D">
      <w:pPr>
        <w:pStyle w:val="TOC1"/>
        <w:tabs>
          <w:tab w:val="right" w:leader="dot" w:pos="8845"/>
        </w:tabs>
      </w:pPr>
      <w:hyperlink w:anchor="_Toc32447" w:history="1">
        <w:r>
          <w:rPr>
            <w:rFonts w:cs="Times New Roman"/>
            <w:bCs/>
            <w:szCs w:val="21"/>
          </w:rPr>
          <w:t xml:space="preserve">6 </w:t>
        </w:r>
        <w:r>
          <w:rPr>
            <w:rFonts w:cs="Times New Roman"/>
            <w:bCs/>
            <w:szCs w:val="21"/>
          </w:rPr>
          <w:t>设备选型</w:t>
        </w:r>
        <w:r>
          <w:tab/>
        </w:r>
        <w:r>
          <w:fldChar w:fldCharType="begin"/>
        </w:r>
        <w:r>
          <w:instrText xml:space="preserve"> PAGEREF _Toc32447 \h </w:instrText>
        </w:r>
        <w:r>
          <w:fldChar w:fldCharType="separate"/>
        </w:r>
        <w:r>
          <w:t>5</w:t>
        </w:r>
        <w:r>
          <w:fldChar w:fldCharType="end"/>
        </w:r>
      </w:hyperlink>
    </w:p>
    <w:p w14:paraId="18F4C20D" w14:textId="77777777" w:rsidR="00AB4227" w:rsidRDefault="0048172D">
      <w:pPr>
        <w:pStyle w:val="TOC1"/>
        <w:tabs>
          <w:tab w:val="right" w:leader="dot" w:pos="8845"/>
        </w:tabs>
      </w:pPr>
      <w:hyperlink w:anchor="_Toc25292" w:history="1">
        <w:r>
          <w:rPr>
            <w:rFonts w:cs="Times New Roman"/>
            <w:bCs/>
            <w:szCs w:val="21"/>
          </w:rPr>
          <w:t xml:space="preserve">7 </w:t>
        </w:r>
        <w:r>
          <w:rPr>
            <w:rFonts w:eastAsiaTheme="minorEastAsia" w:cs="Times New Roman"/>
            <w:bCs/>
            <w:kern w:val="44"/>
            <w:szCs w:val="21"/>
          </w:rPr>
          <w:t>运行管理</w:t>
        </w:r>
        <w:r>
          <w:tab/>
        </w:r>
        <w:r>
          <w:fldChar w:fldCharType="begin"/>
        </w:r>
        <w:r>
          <w:instrText xml:space="preserve"> PAGEREF _Toc25292 \h </w:instrText>
        </w:r>
        <w:r>
          <w:fldChar w:fldCharType="separate"/>
        </w:r>
        <w:r>
          <w:t>5</w:t>
        </w:r>
        <w:r>
          <w:fldChar w:fldCharType="end"/>
        </w:r>
      </w:hyperlink>
    </w:p>
    <w:p w14:paraId="00C52EBD" w14:textId="77777777" w:rsidR="00AB4227" w:rsidRDefault="0048172D">
      <w:pPr>
        <w:pStyle w:val="TOC1"/>
        <w:tabs>
          <w:tab w:val="right" w:leader="dot" w:pos="8845"/>
        </w:tabs>
      </w:pPr>
      <w:hyperlink w:anchor="_Toc31250" w:history="1">
        <w:r>
          <w:rPr>
            <w:rFonts w:cs="Times New Roman"/>
            <w:bCs/>
            <w:szCs w:val="21"/>
          </w:rPr>
          <w:t xml:space="preserve">8 </w:t>
        </w:r>
        <w:r>
          <w:rPr>
            <w:rFonts w:cs="Times New Roman"/>
            <w:bCs/>
            <w:szCs w:val="21"/>
          </w:rPr>
          <w:t>监测</w:t>
        </w:r>
        <w:r>
          <w:tab/>
        </w:r>
        <w:r>
          <w:fldChar w:fldCharType="begin"/>
        </w:r>
        <w:r>
          <w:instrText xml:space="preserve"> PAGEREF _Toc31250 \h </w:instrText>
        </w:r>
        <w:r>
          <w:fldChar w:fldCharType="separate"/>
        </w:r>
        <w:r>
          <w:t>6</w:t>
        </w:r>
        <w:r>
          <w:fldChar w:fldCharType="end"/>
        </w:r>
      </w:hyperlink>
    </w:p>
    <w:p w14:paraId="279EBD1D" w14:textId="77777777" w:rsidR="00AB4227" w:rsidRDefault="0048172D">
      <w:pPr>
        <w:pStyle w:val="TOC1"/>
        <w:tabs>
          <w:tab w:val="right" w:leader="dot" w:pos="8845"/>
        </w:tabs>
      </w:pPr>
      <w:hyperlink w:anchor="_Toc28934" w:history="1">
        <w:r>
          <w:rPr>
            <w:rFonts w:cs="Times New Roman"/>
            <w:bCs/>
            <w:szCs w:val="21"/>
          </w:rPr>
          <w:t xml:space="preserve">9 </w:t>
        </w:r>
        <w:r>
          <w:rPr>
            <w:rFonts w:cs="Times New Roman"/>
            <w:bCs/>
            <w:szCs w:val="21"/>
          </w:rPr>
          <w:t>质量控制</w:t>
        </w:r>
        <w:r>
          <w:tab/>
        </w:r>
        <w:r>
          <w:fldChar w:fldCharType="begin"/>
        </w:r>
        <w:r>
          <w:instrText xml:space="preserve"> PAGEREF _Toc28934 \h </w:instrText>
        </w:r>
        <w:r>
          <w:fldChar w:fldCharType="separate"/>
        </w:r>
        <w:r>
          <w:t>6</w:t>
        </w:r>
        <w:r>
          <w:fldChar w:fldCharType="end"/>
        </w:r>
      </w:hyperlink>
    </w:p>
    <w:p w14:paraId="0FC9BAB6" w14:textId="77777777" w:rsidR="00AB4227" w:rsidRDefault="0048172D">
      <w:pPr>
        <w:pStyle w:val="TOC1"/>
        <w:tabs>
          <w:tab w:val="right" w:leader="dot" w:pos="8845"/>
        </w:tabs>
      </w:pPr>
      <w:hyperlink w:anchor="_Toc22518" w:history="1">
        <w:r>
          <w:rPr>
            <w:rFonts w:cs="Times New Roman" w:hint="eastAsia"/>
            <w:szCs w:val="32"/>
          </w:rPr>
          <w:t>条文说明</w:t>
        </w:r>
        <w:r>
          <w:tab/>
        </w:r>
        <w:r>
          <w:fldChar w:fldCharType="begin"/>
        </w:r>
        <w:r>
          <w:instrText xml:space="preserve"> PAGEREF _Toc22518 \h </w:instrText>
        </w:r>
        <w:r>
          <w:fldChar w:fldCharType="separate"/>
        </w:r>
        <w:r>
          <w:t>10</w:t>
        </w:r>
        <w:r>
          <w:fldChar w:fldCharType="end"/>
        </w:r>
      </w:hyperlink>
    </w:p>
    <w:p w14:paraId="490C876F" w14:textId="77777777" w:rsidR="00AB4227" w:rsidRDefault="0048172D">
      <w:pPr>
        <w:adjustRightInd w:val="0"/>
        <w:snapToGrid w:val="0"/>
        <w:spacing w:line="360" w:lineRule="auto"/>
        <w:jc w:val="center"/>
        <w:rPr>
          <w:rFonts w:cs="Times New Roman"/>
          <w:b/>
        </w:rPr>
      </w:pPr>
      <w:r>
        <w:rPr>
          <w:rFonts w:cs="Times New Roman"/>
        </w:rPr>
        <w:fldChar w:fldCharType="end"/>
      </w:r>
    </w:p>
    <w:p w14:paraId="00B48F13" w14:textId="77777777" w:rsidR="00AB4227" w:rsidRDefault="00AB4227">
      <w:pPr>
        <w:pStyle w:val="1"/>
        <w:spacing w:line="360" w:lineRule="auto"/>
        <w:ind w:firstLineChars="0" w:firstLine="0"/>
        <w:jc w:val="both"/>
        <w:rPr>
          <w:rFonts w:ascii="Times New Roman" w:hAnsi="Times New Roman"/>
          <w:snapToGrid/>
          <w:kern w:val="44"/>
          <w:sz w:val="32"/>
          <w:szCs w:val="32"/>
        </w:rPr>
        <w:sectPr w:rsidR="00AB4227">
          <w:footerReference w:type="default" r:id="rId10"/>
          <w:pgSz w:w="11907" w:h="16840"/>
          <w:pgMar w:top="2098" w:right="1474" w:bottom="1985" w:left="1588" w:header="851" w:footer="1588" w:gutter="0"/>
          <w:pgNumType w:fmt="upperRoman" w:start="1"/>
          <w:cols w:space="720"/>
          <w:docGrid w:type="linesAndChars" w:linePitch="579" w:charSpace="-842"/>
        </w:sectPr>
      </w:pPr>
    </w:p>
    <w:p w14:paraId="29E16A53" w14:textId="77777777" w:rsidR="00AB4227" w:rsidRDefault="0048172D">
      <w:pPr>
        <w:pStyle w:val="a1"/>
        <w:adjustRightInd w:val="0"/>
        <w:snapToGrid w:val="0"/>
        <w:spacing w:line="360" w:lineRule="auto"/>
        <w:jc w:val="center"/>
        <w:rPr>
          <w:rFonts w:eastAsiaTheme="minorEastAsia" w:cs="Times New Roman"/>
          <w:b/>
          <w:kern w:val="44"/>
          <w:sz w:val="30"/>
          <w:szCs w:val="30"/>
        </w:rPr>
      </w:pPr>
      <w:r>
        <w:rPr>
          <w:rFonts w:eastAsiaTheme="minorEastAsia" w:cs="Times New Roman"/>
          <w:b/>
          <w:bCs/>
          <w:sz w:val="30"/>
          <w:szCs w:val="30"/>
        </w:rPr>
        <w:lastRenderedPageBreak/>
        <w:t>前言</w:t>
      </w:r>
    </w:p>
    <w:p w14:paraId="47B8C240" w14:textId="77777777" w:rsidR="00AB4227" w:rsidRDefault="0048172D">
      <w:pPr>
        <w:adjustRightInd w:val="0"/>
        <w:snapToGrid w:val="0"/>
        <w:spacing w:line="360" w:lineRule="auto"/>
        <w:ind w:firstLineChars="200" w:firstLine="472"/>
        <w:rPr>
          <w:rFonts w:cs="Times New Roman"/>
          <w:sz w:val="24"/>
          <w:szCs w:val="24"/>
          <w:highlight w:val="yellow"/>
        </w:rPr>
      </w:pPr>
      <w:r>
        <w:rPr>
          <w:rFonts w:cs="Times New Roman"/>
          <w:sz w:val="24"/>
          <w:szCs w:val="24"/>
        </w:rPr>
        <w:t>本文件按照</w:t>
      </w:r>
      <w:r>
        <w:rPr>
          <w:rFonts w:cs="Times New Roman"/>
          <w:sz w:val="24"/>
          <w:szCs w:val="24"/>
        </w:rPr>
        <w:t>GB/T 1.1-2020</w:t>
      </w:r>
      <w:r>
        <w:rPr>
          <w:rFonts w:cs="Times New Roman"/>
          <w:sz w:val="24"/>
          <w:szCs w:val="24"/>
        </w:rPr>
        <w:t>《标准化工作导则第</w:t>
      </w:r>
      <w:r>
        <w:rPr>
          <w:rFonts w:cs="Times New Roman"/>
          <w:sz w:val="24"/>
          <w:szCs w:val="24"/>
        </w:rPr>
        <w:t>1</w:t>
      </w:r>
      <w:r>
        <w:rPr>
          <w:rFonts w:cs="Times New Roman"/>
          <w:sz w:val="24"/>
          <w:szCs w:val="24"/>
        </w:rPr>
        <w:t>部分：标准化文件的结构和起草规则》的规定编写。</w:t>
      </w:r>
    </w:p>
    <w:p w14:paraId="1600FD43" w14:textId="77777777" w:rsidR="00AB4227" w:rsidRDefault="0048172D">
      <w:pPr>
        <w:adjustRightInd w:val="0"/>
        <w:snapToGrid w:val="0"/>
        <w:spacing w:line="360" w:lineRule="auto"/>
        <w:ind w:firstLineChars="200" w:firstLine="472"/>
        <w:rPr>
          <w:rFonts w:cs="Times New Roman"/>
          <w:sz w:val="24"/>
          <w:szCs w:val="24"/>
        </w:rPr>
      </w:pPr>
      <w:r>
        <w:rPr>
          <w:rFonts w:cs="Times New Roman"/>
          <w:sz w:val="24"/>
          <w:szCs w:val="24"/>
        </w:rPr>
        <w:t>本文件的某些内容可能涉及专利，本文件的发布机构不承担识别这些专利的责任。</w:t>
      </w:r>
    </w:p>
    <w:p w14:paraId="3F00B3A1" w14:textId="77777777" w:rsidR="00AB4227" w:rsidRDefault="0048172D">
      <w:pPr>
        <w:adjustRightInd w:val="0"/>
        <w:snapToGrid w:val="0"/>
        <w:spacing w:line="360" w:lineRule="auto"/>
        <w:ind w:firstLineChars="200" w:firstLine="472"/>
        <w:rPr>
          <w:rFonts w:cs="Times New Roman"/>
          <w:sz w:val="24"/>
          <w:szCs w:val="24"/>
        </w:rPr>
      </w:pPr>
      <w:r>
        <w:rPr>
          <w:rFonts w:cs="Times New Roman"/>
          <w:sz w:val="24"/>
          <w:szCs w:val="24"/>
        </w:rPr>
        <w:t>本文件共</w:t>
      </w:r>
      <w:r>
        <w:rPr>
          <w:rFonts w:cs="Times New Roman"/>
          <w:sz w:val="24"/>
          <w:szCs w:val="24"/>
        </w:rPr>
        <w:t>9</w:t>
      </w:r>
      <w:r>
        <w:rPr>
          <w:rFonts w:cs="Times New Roman"/>
          <w:sz w:val="24"/>
          <w:szCs w:val="24"/>
        </w:rPr>
        <w:t>章，主要技术内容有：</w:t>
      </w:r>
    </w:p>
    <w:p w14:paraId="18F7FB7C" w14:textId="77777777" w:rsidR="00AB4227" w:rsidRDefault="0048172D">
      <w:pPr>
        <w:adjustRightInd w:val="0"/>
        <w:snapToGrid w:val="0"/>
        <w:spacing w:line="360" w:lineRule="auto"/>
        <w:ind w:firstLineChars="200" w:firstLine="472"/>
        <w:rPr>
          <w:rFonts w:cs="Times New Roman"/>
          <w:sz w:val="24"/>
          <w:szCs w:val="24"/>
        </w:rPr>
      </w:pPr>
      <w:r>
        <w:rPr>
          <w:rFonts w:cs="Times New Roman"/>
          <w:sz w:val="24"/>
          <w:szCs w:val="24"/>
        </w:rPr>
        <w:t>——</w:t>
      </w:r>
      <w:r>
        <w:rPr>
          <w:rFonts w:cs="Times New Roman"/>
          <w:sz w:val="24"/>
          <w:szCs w:val="24"/>
        </w:rPr>
        <w:t>工艺选择原则</w:t>
      </w:r>
    </w:p>
    <w:p w14:paraId="7C778F46" w14:textId="77777777" w:rsidR="00AB4227" w:rsidRDefault="0048172D">
      <w:pPr>
        <w:adjustRightInd w:val="0"/>
        <w:snapToGrid w:val="0"/>
        <w:spacing w:line="360" w:lineRule="auto"/>
        <w:ind w:firstLineChars="200" w:firstLine="472"/>
        <w:rPr>
          <w:rFonts w:cs="Times New Roman"/>
          <w:sz w:val="24"/>
          <w:szCs w:val="24"/>
        </w:rPr>
      </w:pPr>
      <w:r>
        <w:rPr>
          <w:rFonts w:cs="Times New Roman"/>
          <w:sz w:val="24"/>
          <w:szCs w:val="24"/>
        </w:rPr>
        <w:t>——</w:t>
      </w:r>
      <w:r>
        <w:rPr>
          <w:rFonts w:cs="Times New Roman"/>
          <w:sz w:val="24"/>
          <w:szCs w:val="24"/>
        </w:rPr>
        <w:t>工艺设</w:t>
      </w:r>
      <w:r>
        <w:rPr>
          <w:rFonts w:cs="Times New Roman"/>
          <w:sz w:val="24"/>
          <w:szCs w:val="24"/>
        </w:rPr>
        <w:t>计</w:t>
      </w:r>
    </w:p>
    <w:p w14:paraId="11C0585C" w14:textId="77777777" w:rsidR="00AB4227" w:rsidRDefault="0048172D">
      <w:pPr>
        <w:adjustRightInd w:val="0"/>
        <w:snapToGrid w:val="0"/>
        <w:spacing w:line="360" w:lineRule="auto"/>
        <w:ind w:firstLineChars="200" w:firstLine="472"/>
        <w:rPr>
          <w:rFonts w:cs="Times New Roman"/>
          <w:sz w:val="24"/>
          <w:szCs w:val="24"/>
        </w:rPr>
      </w:pPr>
      <w:r>
        <w:rPr>
          <w:rFonts w:cs="Times New Roman"/>
          <w:sz w:val="24"/>
          <w:szCs w:val="24"/>
        </w:rPr>
        <w:t>——</w:t>
      </w:r>
      <w:r>
        <w:rPr>
          <w:rFonts w:cs="Times New Roman"/>
          <w:sz w:val="24"/>
          <w:szCs w:val="24"/>
        </w:rPr>
        <w:t>设备选型</w:t>
      </w:r>
    </w:p>
    <w:p w14:paraId="1B0A7281" w14:textId="77777777" w:rsidR="00AB4227" w:rsidRDefault="0048172D">
      <w:pPr>
        <w:adjustRightInd w:val="0"/>
        <w:snapToGrid w:val="0"/>
        <w:spacing w:line="360" w:lineRule="auto"/>
        <w:ind w:firstLineChars="200" w:firstLine="472"/>
        <w:rPr>
          <w:rFonts w:cs="Times New Roman"/>
          <w:sz w:val="24"/>
          <w:szCs w:val="24"/>
        </w:rPr>
      </w:pPr>
      <w:r>
        <w:rPr>
          <w:rFonts w:cs="Times New Roman"/>
          <w:sz w:val="24"/>
          <w:szCs w:val="24"/>
        </w:rPr>
        <w:t>——</w:t>
      </w:r>
      <w:r>
        <w:rPr>
          <w:rFonts w:cs="Times New Roman"/>
          <w:sz w:val="24"/>
          <w:szCs w:val="24"/>
        </w:rPr>
        <w:t>运行管理</w:t>
      </w:r>
    </w:p>
    <w:p w14:paraId="7AD7715D" w14:textId="77777777" w:rsidR="00AB4227" w:rsidRDefault="0048172D">
      <w:pPr>
        <w:adjustRightInd w:val="0"/>
        <w:snapToGrid w:val="0"/>
        <w:spacing w:line="360" w:lineRule="auto"/>
        <w:ind w:firstLineChars="200" w:firstLine="472"/>
        <w:rPr>
          <w:rFonts w:cs="Times New Roman"/>
          <w:sz w:val="24"/>
          <w:szCs w:val="24"/>
        </w:rPr>
      </w:pPr>
      <w:r>
        <w:rPr>
          <w:rFonts w:cs="Times New Roman"/>
          <w:sz w:val="24"/>
          <w:szCs w:val="24"/>
        </w:rPr>
        <w:t>——</w:t>
      </w:r>
      <w:r>
        <w:rPr>
          <w:rFonts w:cs="Times New Roman"/>
          <w:sz w:val="24"/>
          <w:szCs w:val="24"/>
        </w:rPr>
        <w:t>监测</w:t>
      </w:r>
    </w:p>
    <w:p w14:paraId="3624E6F6" w14:textId="77777777" w:rsidR="00AB4227" w:rsidRDefault="0048172D">
      <w:pPr>
        <w:adjustRightInd w:val="0"/>
        <w:snapToGrid w:val="0"/>
        <w:spacing w:line="360" w:lineRule="auto"/>
        <w:ind w:firstLineChars="200" w:firstLine="472"/>
        <w:rPr>
          <w:rFonts w:cs="Times New Roman"/>
          <w:sz w:val="24"/>
          <w:szCs w:val="24"/>
        </w:rPr>
      </w:pPr>
      <w:r>
        <w:rPr>
          <w:rFonts w:cs="Times New Roman"/>
          <w:sz w:val="24"/>
          <w:szCs w:val="24"/>
        </w:rPr>
        <w:t>——</w:t>
      </w:r>
      <w:r>
        <w:rPr>
          <w:rFonts w:cs="Times New Roman"/>
          <w:sz w:val="24"/>
          <w:szCs w:val="24"/>
        </w:rPr>
        <w:t>质量控制</w:t>
      </w:r>
    </w:p>
    <w:p w14:paraId="40BD2DAE" w14:textId="77777777" w:rsidR="00AB4227" w:rsidRDefault="0048172D">
      <w:pPr>
        <w:adjustRightInd w:val="0"/>
        <w:snapToGrid w:val="0"/>
        <w:spacing w:line="360" w:lineRule="auto"/>
        <w:ind w:firstLineChars="200" w:firstLine="474"/>
        <w:rPr>
          <w:rFonts w:cs="Times New Roman"/>
          <w:sz w:val="24"/>
          <w:szCs w:val="24"/>
        </w:rPr>
      </w:pPr>
      <w:r>
        <w:rPr>
          <w:rFonts w:cs="Times New Roman"/>
          <w:b/>
          <w:bCs/>
          <w:sz w:val="24"/>
          <w:szCs w:val="24"/>
        </w:rPr>
        <w:t>本文件起草单位：</w:t>
      </w:r>
      <w:r>
        <w:rPr>
          <w:rFonts w:cs="Times New Roman"/>
          <w:sz w:val="24"/>
          <w:szCs w:val="24"/>
        </w:rPr>
        <w:t>辽宁省水利事务服务中心，中国水利水电科学研究院，辽宁嘉龙兴水科技有限公司，辽宁服膺科技有限公司</w:t>
      </w:r>
    </w:p>
    <w:p w14:paraId="348E3C89" w14:textId="77777777" w:rsidR="00AB4227" w:rsidRDefault="0048172D">
      <w:pPr>
        <w:adjustRightInd w:val="0"/>
        <w:snapToGrid w:val="0"/>
        <w:spacing w:line="360" w:lineRule="auto"/>
        <w:ind w:firstLineChars="200" w:firstLine="474"/>
        <w:rPr>
          <w:rFonts w:cs="Times New Roman"/>
          <w:sz w:val="24"/>
          <w:szCs w:val="24"/>
        </w:rPr>
      </w:pPr>
      <w:r>
        <w:rPr>
          <w:rFonts w:cs="Times New Roman"/>
          <w:b/>
          <w:bCs/>
          <w:sz w:val="24"/>
          <w:szCs w:val="24"/>
        </w:rPr>
        <w:t>本文件主要起草人：</w:t>
      </w:r>
      <w:r>
        <w:rPr>
          <w:rFonts w:cs="Times New Roman"/>
          <w:sz w:val="24"/>
          <w:szCs w:val="24"/>
        </w:rPr>
        <w:t>孙毅</w:t>
      </w:r>
      <w:r>
        <w:rPr>
          <w:rFonts w:cs="Times New Roman"/>
          <w:sz w:val="24"/>
          <w:szCs w:val="24"/>
        </w:rPr>
        <w:t xml:space="preserve"> </w:t>
      </w:r>
      <w:r>
        <w:rPr>
          <w:rFonts w:cs="Times New Roman"/>
          <w:sz w:val="24"/>
          <w:szCs w:val="24"/>
        </w:rPr>
        <w:t>李斌</w:t>
      </w:r>
      <w:r>
        <w:rPr>
          <w:rFonts w:cs="Times New Roman"/>
          <w:sz w:val="24"/>
          <w:szCs w:val="24"/>
        </w:rPr>
        <w:t xml:space="preserve"> </w:t>
      </w:r>
      <w:r>
        <w:rPr>
          <w:rFonts w:cs="Times New Roman"/>
          <w:sz w:val="24"/>
          <w:szCs w:val="24"/>
        </w:rPr>
        <w:t>解中辉</w:t>
      </w:r>
      <w:r>
        <w:rPr>
          <w:rFonts w:cs="Times New Roman"/>
          <w:sz w:val="24"/>
          <w:szCs w:val="24"/>
        </w:rPr>
        <w:t xml:space="preserve"> </w:t>
      </w:r>
      <w:r>
        <w:rPr>
          <w:rFonts w:cs="Times New Roman"/>
          <w:sz w:val="24"/>
          <w:szCs w:val="24"/>
        </w:rPr>
        <w:t>马俊芳</w:t>
      </w:r>
      <w:r>
        <w:rPr>
          <w:rFonts w:cs="Times New Roman"/>
          <w:sz w:val="24"/>
          <w:szCs w:val="24"/>
        </w:rPr>
        <w:t xml:space="preserve"> </w:t>
      </w:r>
      <w:r>
        <w:rPr>
          <w:rFonts w:cs="Times New Roman" w:hint="eastAsia"/>
          <w:sz w:val="24"/>
          <w:szCs w:val="24"/>
        </w:rPr>
        <w:t>吕育锋</w:t>
      </w:r>
      <w:r>
        <w:rPr>
          <w:rFonts w:cs="Times New Roman" w:hint="eastAsia"/>
          <w:sz w:val="24"/>
          <w:szCs w:val="24"/>
        </w:rPr>
        <w:t xml:space="preserve"> </w:t>
      </w:r>
      <w:r>
        <w:rPr>
          <w:rFonts w:cs="Times New Roman"/>
          <w:sz w:val="24"/>
          <w:szCs w:val="24"/>
        </w:rPr>
        <w:t>王俊达</w:t>
      </w:r>
      <w:r>
        <w:rPr>
          <w:rFonts w:cs="Times New Roman"/>
          <w:sz w:val="24"/>
          <w:szCs w:val="24"/>
        </w:rPr>
        <w:t xml:space="preserve"> </w:t>
      </w:r>
      <w:r>
        <w:rPr>
          <w:rFonts w:cs="Times New Roman"/>
          <w:sz w:val="24"/>
          <w:szCs w:val="24"/>
        </w:rPr>
        <w:t>邹添丞</w:t>
      </w:r>
      <w:r>
        <w:rPr>
          <w:rFonts w:cs="Times New Roman"/>
          <w:sz w:val="24"/>
          <w:szCs w:val="24"/>
        </w:rPr>
        <w:t xml:space="preserve"> </w:t>
      </w:r>
      <w:r>
        <w:rPr>
          <w:rFonts w:cs="Times New Roman"/>
          <w:sz w:val="24"/>
          <w:szCs w:val="24"/>
        </w:rPr>
        <w:t>李岫霖</w:t>
      </w:r>
      <w:r>
        <w:rPr>
          <w:rFonts w:cs="Times New Roman"/>
          <w:sz w:val="24"/>
          <w:szCs w:val="24"/>
        </w:rPr>
        <w:t xml:space="preserve"> </w:t>
      </w:r>
      <w:r>
        <w:rPr>
          <w:rFonts w:cs="Times New Roman"/>
          <w:sz w:val="24"/>
          <w:szCs w:val="24"/>
        </w:rPr>
        <w:t>陈丽敏</w:t>
      </w:r>
      <w:r>
        <w:rPr>
          <w:rFonts w:cs="Times New Roman"/>
          <w:sz w:val="24"/>
          <w:szCs w:val="24"/>
        </w:rPr>
        <w:t xml:space="preserve"> </w:t>
      </w:r>
      <w:r>
        <w:rPr>
          <w:rFonts w:cs="Times New Roman"/>
          <w:sz w:val="24"/>
          <w:szCs w:val="24"/>
        </w:rPr>
        <w:t>孙放</w:t>
      </w:r>
      <w:r>
        <w:rPr>
          <w:rFonts w:cs="Times New Roman"/>
          <w:sz w:val="24"/>
          <w:szCs w:val="24"/>
        </w:rPr>
        <w:t xml:space="preserve"> </w:t>
      </w:r>
      <w:r>
        <w:rPr>
          <w:rFonts w:cs="Times New Roman"/>
          <w:sz w:val="24"/>
          <w:szCs w:val="24"/>
        </w:rPr>
        <w:t>刘宝印</w:t>
      </w:r>
      <w:r>
        <w:rPr>
          <w:rFonts w:cs="Times New Roman"/>
          <w:sz w:val="24"/>
          <w:szCs w:val="24"/>
        </w:rPr>
        <w:t xml:space="preserve"> </w:t>
      </w:r>
      <w:r>
        <w:rPr>
          <w:rFonts w:cs="Times New Roman"/>
          <w:sz w:val="24"/>
          <w:szCs w:val="24"/>
        </w:rPr>
        <w:t>刘克俭</w:t>
      </w:r>
      <w:r>
        <w:rPr>
          <w:rFonts w:cs="Times New Roman"/>
          <w:sz w:val="24"/>
          <w:szCs w:val="24"/>
        </w:rPr>
        <w:t xml:space="preserve"> </w:t>
      </w:r>
      <w:r>
        <w:rPr>
          <w:rFonts w:cs="Times New Roman"/>
          <w:sz w:val="24"/>
          <w:szCs w:val="24"/>
        </w:rPr>
        <w:t>牟昊</w:t>
      </w:r>
      <w:r>
        <w:rPr>
          <w:rFonts w:cs="Times New Roman"/>
          <w:sz w:val="24"/>
          <w:szCs w:val="24"/>
        </w:rPr>
        <w:t xml:space="preserve"> </w:t>
      </w:r>
      <w:r>
        <w:rPr>
          <w:rFonts w:cs="Times New Roman"/>
          <w:sz w:val="24"/>
          <w:szCs w:val="24"/>
        </w:rPr>
        <w:t>王健骁</w:t>
      </w:r>
      <w:r>
        <w:rPr>
          <w:rFonts w:cs="Times New Roman"/>
          <w:sz w:val="24"/>
          <w:szCs w:val="24"/>
        </w:rPr>
        <w:t xml:space="preserve"> </w:t>
      </w:r>
      <w:r>
        <w:rPr>
          <w:rFonts w:cs="Times New Roman"/>
          <w:sz w:val="24"/>
          <w:szCs w:val="24"/>
        </w:rPr>
        <w:t>李晓玲</w:t>
      </w:r>
      <w:r>
        <w:rPr>
          <w:rFonts w:cs="Times New Roman"/>
          <w:sz w:val="24"/>
          <w:szCs w:val="24"/>
        </w:rPr>
        <w:t xml:space="preserve"> </w:t>
      </w:r>
      <w:r>
        <w:rPr>
          <w:rFonts w:cs="Times New Roman"/>
          <w:sz w:val="24"/>
          <w:szCs w:val="24"/>
        </w:rPr>
        <w:t>王伟奇</w:t>
      </w:r>
      <w:r>
        <w:rPr>
          <w:rFonts w:cs="Times New Roman"/>
          <w:sz w:val="24"/>
          <w:szCs w:val="24"/>
        </w:rPr>
        <w:t xml:space="preserve"> </w:t>
      </w:r>
      <w:r>
        <w:rPr>
          <w:rFonts w:cs="Times New Roman"/>
          <w:sz w:val="24"/>
          <w:szCs w:val="24"/>
        </w:rPr>
        <w:t>徐佳宁</w:t>
      </w:r>
      <w:r>
        <w:rPr>
          <w:rFonts w:cs="Times New Roman"/>
          <w:sz w:val="24"/>
          <w:szCs w:val="24"/>
        </w:rPr>
        <w:t xml:space="preserve"> </w:t>
      </w:r>
      <w:r>
        <w:rPr>
          <w:rFonts w:cs="Times New Roman"/>
          <w:sz w:val="24"/>
          <w:szCs w:val="24"/>
        </w:rPr>
        <w:t>李化</w:t>
      </w:r>
      <w:r>
        <w:rPr>
          <w:rFonts w:cs="Times New Roman"/>
          <w:sz w:val="24"/>
          <w:szCs w:val="24"/>
        </w:rPr>
        <w:t xml:space="preserve"> </w:t>
      </w:r>
      <w:r>
        <w:rPr>
          <w:rFonts w:cs="Times New Roman"/>
          <w:sz w:val="24"/>
          <w:szCs w:val="24"/>
        </w:rPr>
        <w:t>胡艳江</w:t>
      </w:r>
      <w:r>
        <w:rPr>
          <w:rFonts w:cs="Times New Roman"/>
          <w:sz w:val="24"/>
          <w:szCs w:val="24"/>
        </w:rPr>
        <w:t xml:space="preserve"> </w:t>
      </w:r>
      <w:r>
        <w:rPr>
          <w:rFonts w:cs="Times New Roman"/>
          <w:sz w:val="24"/>
          <w:szCs w:val="24"/>
        </w:rPr>
        <w:t>宋岩</w:t>
      </w:r>
      <w:r>
        <w:rPr>
          <w:rFonts w:cs="Times New Roman"/>
          <w:sz w:val="24"/>
          <w:szCs w:val="24"/>
        </w:rPr>
        <w:t xml:space="preserve"> </w:t>
      </w:r>
      <w:r>
        <w:rPr>
          <w:rFonts w:cs="Times New Roman"/>
          <w:sz w:val="24"/>
          <w:szCs w:val="24"/>
        </w:rPr>
        <w:t>吴迪</w:t>
      </w:r>
      <w:r>
        <w:rPr>
          <w:rFonts w:cs="Times New Roman"/>
          <w:sz w:val="24"/>
          <w:szCs w:val="24"/>
        </w:rPr>
        <w:t xml:space="preserve"> </w:t>
      </w:r>
      <w:r>
        <w:rPr>
          <w:rFonts w:cs="Times New Roman"/>
          <w:sz w:val="24"/>
          <w:szCs w:val="24"/>
        </w:rPr>
        <w:t>赵莹</w:t>
      </w:r>
      <w:r>
        <w:rPr>
          <w:rFonts w:cs="Times New Roman"/>
          <w:sz w:val="24"/>
          <w:szCs w:val="24"/>
        </w:rPr>
        <w:t xml:space="preserve"> </w:t>
      </w:r>
      <w:r>
        <w:rPr>
          <w:rFonts w:cs="Times New Roman"/>
          <w:sz w:val="24"/>
          <w:szCs w:val="24"/>
        </w:rPr>
        <w:t>孙丽娜</w:t>
      </w:r>
    </w:p>
    <w:p w14:paraId="4FB522D1" w14:textId="77777777" w:rsidR="00AB4227" w:rsidRDefault="00AB4227">
      <w:pPr>
        <w:adjustRightInd w:val="0"/>
        <w:snapToGrid w:val="0"/>
        <w:spacing w:line="360" w:lineRule="auto"/>
        <w:rPr>
          <w:rFonts w:cs="Times New Roman"/>
        </w:rPr>
        <w:sectPr w:rsidR="00AB4227">
          <w:footerReference w:type="default" r:id="rId11"/>
          <w:pgSz w:w="11907" w:h="16840"/>
          <w:pgMar w:top="2098" w:right="1474" w:bottom="1985" w:left="1588" w:header="851" w:footer="1588" w:gutter="0"/>
          <w:pgNumType w:start="1"/>
          <w:cols w:space="720"/>
          <w:docGrid w:type="linesAndChars" w:linePitch="579" w:charSpace="-842"/>
        </w:sectPr>
      </w:pPr>
    </w:p>
    <w:p w14:paraId="73059DF7" w14:textId="77777777" w:rsidR="00AB4227" w:rsidRDefault="0048172D">
      <w:pPr>
        <w:pStyle w:val="a1"/>
        <w:adjustRightInd w:val="0"/>
        <w:snapToGrid w:val="0"/>
        <w:spacing w:line="360" w:lineRule="auto"/>
        <w:jc w:val="center"/>
        <w:rPr>
          <w:rFonts w:eastAsia="黑体" w:cs="Times New Roman"/>
          <w:szCs w:val="32"/>
        </w:rPr>
      </w:pPr>
      <w:bookmarkStart w:id="9" w:name="_Toc10055"/>
      <w:bookmarkStart w:id="10" w:name="_Toc13971"/>
      <w:bookmarkStart w:id="11" w:name="_Toc15166"/>
      <w:bookmarkStart w:id="12" w:name="_Toc31984"/>
      <w:bookmarkStart w:id="13" w:name="OLE_LINK11"/>
      <w:bookmarkStart w:id="14" w:name="_Toc27986"/>
      <w:r>
        <w:rPr>
          <w:rFonts w:eastAsia="黑体" w:cs="Times New Roman"/>
          <w:b/>
          <w:bCs/>
          <w:sz w:val="28"/>
          <w:szCs w:val="28"/>
        </w:rPr>
        <w:lastRenderedPageBreak/>
        <w:t>硝酸盐超标水生物法处理技术规范</w:t>
      </w:r>
      <w:bookmarkEnd w:id="9"/>
      <w:bookmarkEnd w:id="10"/>
      <w:bookmarkEnd w:id="11"/>
      <w:bookmarkEnd w:id="12"/>
      <w:bookmarkEnd w:id="13"/>
      <w:bookmarkEnd w:id="14"/>
    </w:p>
    <w:p w14:paraId="3989F81A" w14:textId="77777777" w:rsidR="00AB4227" w:rsidRDefault="0048172D">
      <w:pPr>
        <w:adjustRightInd w:val="0"/>
        <w:snapToGrid w:val="0"/>
        <w:spacing w:line="360" w:lineRule="auto"/>
        <w:jc w:val="left"/>
        <w:outlineLvl w:val="0"/>
        <w:rPr>
          <w:rFonts w:cs="Times New Roman"/>
          <w:b/>
          <w:bCs/>
          <w:szCs w:val="21"/>
        </w:rPr>
      </w:pPr>
      <w:bookmarkStart w:id="15" w:name="_Toc20323"/>
      <w:bookmarkStart w:id="16" w:name="_Toc24079"/>
      <w:bookmarkStart w:id="17" w:name="_Toc29646"/>
      <w:bookmarkStart w:id="18" w:name="OLE_LINK2"/>
      <w:r>
        <w:rPr>
          <w:rFonts w:cs="Times New Roman"/>
          <w:b/>
          <w:bCs/>
          <w:szCs w:val="21"/>
        </w:rPr>
        <w:t xml:space="preserve">1 </w:t>
      </w:r>
      <w:r>
        <w:rPr>
          <w:rFonts w:cs="Times New Roman"/>
          <w:b/>
          <w:bCs/>
          <w:szCs w:val="21"/>
        </w:rPr>
        <w:t>范围</w:t>
      </w:r>
      <w:bookmarkEnd w:id="15"/>
      <w:bookmarkEnd w:id="16"/>
      <w:bookmarkEnd w:id="17"/>
    </w:p>
    <w:p w14:paraId="7CFFE285" w14:textId="77777777" w:rsidR="00AB4227" w:rsidRDefault="0048172D">
      <w:pPr>
        <w:pStyle w:val="aff"/>
        <w:adjustRightInd w:val="0"/>
        <w:snapToGrid w:val="0"/>
        <w:spacing w:line="360" w:lineRule="auto"/>
        <w:ind w:firstLineChars="0" w:firstLine="0"/>
        <w:jc w:val="left"/>
        <w:outlineLvl w:val="1"/>
        <w:rPr>
          <w:rFonts w:eastAsiaTheme="minorEastAsia" w:cs="Times New Roman"/>
          <w:szCs w:val="21"/>
        </w:rPr>
      </w:pPr>
      <w:bookmarkStart w:id="19" w:name="_Toc186791731"/>
      <w:bookmarkStart w:id="20" w:name="_Toc18558"/>
      <w:bookmarkStart w:id="21" w:name="_Toc2330"/>
      <w:r>
        <w:rPr>
          <w:rFonts w:cs="Times New Roman"/>
          <w:b/>
          <w:bCs/>
        </w:rPr>
        <w:t>1.1</w:t>
      </w:r>
      <w:bookmarkEnd w:id="19"/>
      <w:r>
        <w:rPr>
          <w:rFonts w:cs="Times New Roman"/>
          <w:b/>
          <w:bCs/>
        </w:rPr>
        <w:t xml:space="preserve"> </w:t>
      </w:r>
      <w:bookmarkEnd w:id="18"/>
      <w:r>
        <w:rPr>
          <w:rFonts w:eastAsiaTheme="minorEastAsia" w:cs="Times New Roman"/>
          <w:szCs w:val="21"/>
        </w:rPr>
        <w:t>本文件规定了采用生物法处理硝酸盐超标水的净化处理工艺设计、设备选型、运行管理、监测与控制等技术要求，旨在保障经处理后的水</w:t>
      </w:r>
      <w:r>
        <w:rPr>
          <w:rFonts w:eastAsiaTheme="minorEastAsia" w:cs="Times New Roman" w:hint="eastAsia"/>
          <w:szCs w:val="21"/>
        </w:rPr>
        <w:t>符合</w:t>
      </w:r>
      <w:r>
        <w:rPr>
          <w:rFonts w:eastAsiaTheme="minorEastAsia" w:cs="Times New Roman" w:hint="eastAsia"/>
          <w:szCs w:val="21"/>
        </w:rPr>
        <w:t>GB 5749-2022</w:t>
      </w:r>
      <w:r>
        <w:rPr>
          <w:rFonts w:eastAsiaTheme="minorEastAsia" w:cs="Times New Roman" w:hint="eastAsia"/>
          <w:szCs w:val="21"/>
        </w:rPr>
        <w:t>中硝酸盐氮（以</w:t>
      </w:r>
      <w:r>
        <w:rPr>
          <w:rFonts w:eastAsiaTheme="minorEastAsia" w:cs="Times New Roman" w:hint="eastAsia"/>
          <w:szCs w:val="21"/>
        </w:rPr>
        <w:t>N</w:t>
      </w:r>
      <w:r>
        <w:rPr>
          <w:rFonts w:eastAsiaTheme="minorEastAsia" w:cs="Times New Roman" w:hint="eastAsia"/>
          <w:szCs w:val="21"/>
        </w:rPr>
        <w:t>计）限制要求</w:t>
      </w:r>
      <w:r>
        <w:rPr>
          <w:rFonts w:eastAsiaTheme="minorEastAsia" w:cs="Times New Roman"/>
          <w:szCs w:val="21"/>
        </w:rPr>
        <w:t>。</w:t>
      </w:r>
      <w:bookmarkEnd w:id="20"/>
      <w:bookmarkEnd w:id="21"/>
    </w:p>
    <w:p w14:paraId="7FA209CA" w14:textId="77777777" w:rsidR="00AB4227" w:rsidRDefault="0048172D">
      <w:pPr>
        <w:pStyle w:val="aff"/>
        <w:adjustRightInd w:val="0"/>
        <w:snapToGrid w:val="0"/>
        <w:spacing w:line="360" w:lineRule="auto"/>
        <w:ind w:firstLineChars="0" w:firstLine="0"/>
        <w:jc w:val="left"/>
        <w:outlineLvl w:val="1"/>
        <w:rPr>
          <w:rFonts w:eastAsiaTheme="minorEastAsia" w:cs="Times New Roman"/>
          <w:szCs w:val="21"/>
        </w:rPr>
      </w:pPr>
      <w:bookmarkStart w:id="22" w:name="_Toc186791732"/>
      <w:bookmarkStart w:id="23" w:name="_Toc54"/>
      <w:bookmarkStart w:id="24" w:name="_Toc19346"/>
      <w:r>
        <w:rPr>
          <w:rFonts w:cs="Times New Roman"/>
          <w:b/>
          <w:bCs/>
          <w:color w:val="000000"/>
          <w:kern w:val="0"/>
          <w:szCs w:val="21"/>
          <w:lang w:bidi="ar"/>
        </w:rPr>
        <w:t>1.2</w:t>
      </w:r>
      <w:bookmarkEnd w:id="22"/>
      <w:r>
        <w:rPr>
          <w:rFonts w:eastAsia="黑体" w:cs="Times New Roman"/>
          <w:b/>
          <w:bCs/>
          <w:color w:val="000000"/>
          <w:kern w:val="0"/>
          <w:szCs w:val="21"/>
          <w:lang w:bidi="ar"/>
        </w:rPr>
        <w:t xml:space="preserve"> </w:t>
      </w:r>
      <w:r>
        <w:rPr>
          <w:rFonts w:eastAsiaTheme="minorEastAsia" w:cs="Times New Roman"/>
          <w:szCs w:val="21"/>
        </w:rPr>
        <w:t>本文件适用于以硝酸盐超标地下水为原水，采用异养生物法处理硝酸盐的水处理</w:t>
      </w:r>
      <w:r>
        <w:rPr>
          <w:rFonts w:eastAsiaTheme="minorEastAsia" w:cs="Times New Roman" w:hint="eastAsia"/>
          <w:szCs w:val="21"/>
        </w:rPr>
        <w:t>设施或系统</w:t>
      </w:r>
      <w:r>
        <w:rPr>
          <w:rFonts w:eastAsiaTheme="minorEastAsia" w:cs="Times New Roman"/>
          <w:szCs w:val="21"/>
        </w:rPr>
        <w:t>。</w:t>
      </w:r>
      <w:bookmarkEnd w:id="23"/>
      <w:bookmarkEnd w:id="24"/>
    </w:p>
    <w:p w14:paraId="065E85CB" w14:textId="77777777" w:rsidR="00AB4227" w:rsidRDefault="0048172D">
      <w:pPr>
        <w:adjustRightInd w:val="0"/>
        <w:snapToGrid w:val="0"/>
        <w:spacing w:line="360" w:lineRule="auto"/>
        <w:jc w:val="left"/>
        <w:outlineLvl w:val="0"/>
        <w:rPr>
          <w:rFonts w:cs="Times New Roman"/>
          <w:b/>
          <w:bCs/>
          <w:szCs w:val="21"/>
        </w:rPr>
      </w:pPr>
      <w:bookmarkStart w:id="25" w:name="_Toc16390"/>
      <w:bookmarkStart w:id="26" w:name="_Toc19547"/>
      <w:bookmarkStart w:id="27" w:name="_Toc4544"/>
      <w:r>
        <w:rPr>
          <w:rFonts w:cs="Times New Roman"/>
          <w:b/>
          <w:bCs/>
          <w:szCs w:val="21"/>
        </w:rPr>
        <w:t xml:space="preserve">2 </w:t>
      </w:r>
      <w:r>
        <w:rPr>
          <w:rFonts w:cs="Times New Roman"/>
          <w:b/>
          <w:bCs/>
          <w:szCs w:val="21"/>
        </w:rPr>
        <w:t>规范性引用文件</w:t>
      </w:r>
      <w:bookmarkEnd w:id="25"/>
      <w:bookmarkEnd w:id="26"/>
      <w:bookmarkEnd w:id="27"/>
    </w:p>
    <w:p w14:paraId="733F7683" w14:textId="77777777" w:rsidR="00AB4227" w:rsidRDefault="0048172D">
      <w:pPr>
        <w:pStyle w:val="20"/>
        <w:adjustRightInd w:val="0"/>
        <w:snapToGrid w:val="0"/>
        <w:rPr>
          <w:rFonts w:cs="Times New Roman"/>
          <w:sz w:val="21"/>
          <w:szCs w:val="21"/>
        </w:rPr>
      </w:pPr>
      <w:r>
        <w:rPr>
          <w:rFonts w:cs="Times New Roman"/>
          <w:sz w:val="21"/>
          <w:szCs w:val="21"/>
        </w:rPr>
        <w:t>下列文件对于本文件的应用是必不可少的，凡是注日期的引用文件，仅注日期的版本适用于本文件。凡是不注日期的引用文件，其最新版本（包括所有的修改单）适用于本文件。</w:t>
      </w:r>
    </w:p>
    <w:p w14:paraId="64B28183" w14:textId="77777777" w:rsidR="00AB4227" w:rsidRDefault="0048172D">
      <w:pPr>
        <w:pStyle w:val="20"/>
        <w:adjustRightInd w:val="0"/>
        <w:snapToGrid w:val="0"/>
        <w:rPr>
          <w:rFonts w:cs="Times New Roman"/>
          <w:sz w:val="21"/>
          <w:szCs w:val="21"/>
        </w:rPr>
      </w:pPr>
      <w:r>
        <w:rPr>
          <w:rFonts w:cs="Times New Roman"/>
          <w:sz w:val="21"/>
          <w:szCs w:val="21"/>
        </w:rPr>
        <w:t xml:space="preserve">GB/T 37528 </w:t>
      </w:r>
      <w:r>
        <w:rPr>
          <w:rFonts w:cs="Times New Roman"/>
          <w:sz w:val="21"/>
          <w:szCs w:val="21"/>
        </w:rPr>
        <w:t>脱氮生物滤池通用技术规范</w:t>
      </w:r>
    </w:p>
    <w:p w14:paraId="2F1F7D98" w14:textId="77777777" w:rsidR="00AB4227" w:rsidRDefault="0048172D">
      <w:pPr>
        <w:pStyle w:val="20"/>
        <w:adjustRightInd w:val="0"/>
        <w:snapToGrid w:val="0"/>
        <w:rPr>
          <w:rFonts w:cs="Times New Roman"/>
          <w:sz w:val="21"/>
          <w:szCs w:val="21"/>
        </w:rPr>
      </w:pPr>
      <w:r>
        <w:rPr>
          <w:rFonts w:cs="Times New Roman"/>
          <w:sz w:val="21"/>
          <w:szCs w:val="21"/>
        </w:rPr>
        <w:t xml:space="preserve">GB 5749 </w:t>
      </w:r>
      <w:r>
        <w:rPr>
          <w:rFonts w:cs="Times New Roman"/>
          <w:sz w:val="21"/>
          <w:szCs w:val="21"/>
        </w:rPr>
        <w:t>生活饮用水卫生标准</w:t>
      </w:r>
    </w:p>
    <w:p w14:paraId="6622057C" w14:textId="77777777" w:rsidR="00AB4227" w:rsidRDefault="0048172D">
      <w:pPr>
        <w:pStyle w:val="20"/>
        <w:adjustRightInd w:val="0"/>
        <w:snapToGrid w:val="0"/>
        <w:rPr>
          <w:rFonts w:cs="Times New Roman"/>
          <w:sz w:val="21"/>
          <w:szCs w:val="21"/>
        </w:rPr>
      </w:pPr>
      <w:r>
        <w:rPr>
          <w:rFonts w:cs="Times New Roman"/>
          <w:sz w:val="21"/>
          <w:szCs w:val="21"/>
        </w:rPr>
        <w:t xml:space="preserve">GB/T 5750 </w:t>
      </w:r>
      <w:r>
        <w:rPr>
          <w:rFonts w:cs="Times New Roman"/>
          <w:sz w:val="21"/>
          <w:szCs w:val="21"/>
        </w:rPr>
        <w:t>生活饮用水标准检验方法</w:t>
      </w:r>
    </w:p>
    <w:p w14:paraId="42395B03" w14:textId="77777777" w:rsidR="00AB4227" w:rsidRDefault="0048172D">
      <w:pPr>
        <w:pStyle w:val="20"/>
        <w:adjustRightInd w:val="0"/>
        <w:snapToGrid w:val="0"/>
        <w:rPr>
          <w:rFonts w:cs="Times New Roman"/>
          <w:sz w:val="21"/>
          <w:szCs w:val="21"/>
        </w:rPr>
      </w:pPr>
      <w:r>
        <w:rPr>
          <w:rFonts w:cs="Times New Roman"/>
          <w:sz w:val="21"/>
          <w:szCs w:val="21"/>
        </w:rPr>
        <w:t xml:space="preserve">GB/T 43824 </w:t>
      </w:r>
      <w:r>
        <w:rPr>
          <w:rFonts w:cs="Times New Roman"/>
          <w:sz w:val="21"/>
          <w:szCs w:val="21"/>
        </w:rPr>
        <w:t>村镇供水工程技术规范</w:t>
      </w:r>
    </w:p>
    <w:p w14:paraId="2D654A52" w14:textId="77777777" w:rsidR="00AB4227" w:rsidRDefault="0048172D">
      <w:pPr>
        <w:pStyle w:val="20"/>
        <w:adjustRightInd w:val="0"/>
        <w:snapToGrid w:val="0"/>
        <w:ind w:firstLineChars="0" w:firstLine="411"/>
        <w:rPr>
          <w:rFonts w:cs="Times New Roman"/>
          <w:sz w:val="21"/>
          <w:szCs w:val="21"/>
        </w:rPr>
      </w:pPr>
      <w:r>
        <w:rPr>
          <w:rFonts w:cs="Times New Roman"/>
          <w:sz w:val="21"/>
          <w:szCs w:val="21"/>
        </w:rPr>
        <w:t xml:space="preserve">GB/T17219 </w:t>
      </w:r>
      <w:r>
        <w:rPr>
          <w:rFonts w:cs="Times New Roman"/>
          <w:sz w:val="21"/>
          <w:szCs w:val="21"/>
        </w:rPr>
        <w:t>生活饮用水输配水设备及防护材料的安全性评价标准</w:t>
      </w:r>
    </w:p>
    <w:p w14:paraId="21E10987" w14:textId="77777777" w:rsidR="00AB4227" w:rsidRDefault="0048172D">
      <w:pPr>
        <w:pStyle w:val="20"/>
        <w:adjustRightInd w:val="0"/>
        <w:snapToGrid w:val="0"/>
        <w:ind w:firstLineChars="0" w:firstLine="411"/>
        <w:rPr>
          <w:rFonts w:cs="Times New Roman"/>
          <w:sz w:val="21"/>
          <w:szCs w:val="21"/>
        </w:rPr>
      </w:pPr>
      <w:r>
        <w:rPr>
          <w:rFonts w:cs="Times New Roman"/>
          <w:sz w:val="21"/>
          <w:szCs w:val="21"/>
        </w:rPr>
        <w:t xml:space="preserve">GB50013 </w:t>
      </w:r>
      <w:r>
        <w:rPr>
          <w:rFonts w:cs="Times New Roman"/>
          <w:sz w:val="21"/>
          <w:szCs w:val="21"/>
        </w:rPr>
        <w:t>室外给水设计标准</w:t>
      </w:r>
    </w:p>
    <w:p w14:paraId="51373C6F" w14:textId="77777777" w:rsidR="00AB4227" w:rsidRDefault="0048172D">
      <w:pPr>
        <w:pStyle w:val="20"/>
        <w:adjustRightInd w:val="0"/>
        <w:snapToGrid w:val="0"/>
        <w:rPr>
          <w:rFonts w:cs="Times New Roman"/>
          <w:sz w:val="21"/>
          <w:szCs w:val="21"/>
        </w:rPr>
      </w:pPr>
      <w:r>
        <w:rPr>
          <w:rFonts w:cs="Times New Roman"/>
          <w:sz w:val="21"/>
          <w:szCs w:val="21"/>
        </w:rPr>
        <w:t xml:space="preserve">GB/T </w:t>
      </w:r>
      <w:r>
        <w:rPr>
          <w:rFonts w:cs="Times New Roman"/>
          <w:sz w:val="21"/>
          <w:szCs w:val="21"/>
        </w:rPr>
        <w:t>10002.1</w:t>
      </w:r>
      <w:r>
        <w:rPr>
          <w:rFonts w:cs="Times New Roman"/>
          <w:sz w:val="21"/>
          <w:szCs w:val="21"/>
        </w:rPr>
        <w:t>给水用聚氯乙烯（</w:t>
      </w:r>
      <w:r>
        <w:rPr>
          <w:rFonts w:cs="Times New Roman"/>
          <w:sz w:val="21"/>
          <w:szCs w:val="21"/>
        </w:rPr>
        <w:t>PVC-U</w:t>
      </w:r>
      <w:r>
        <w:rPr>
          <w:rFonts w:cs="Times New Roman"/>
          <w:sz w:val="21"/>
          <w:szCs w:val="21"/>
        </w:rPr>
        <w:t>）管材</w:t>
      </w:r>
    </w:p>
    <w:p w14:paraId="4F165799" w14:textId="77777777" w:rsidR="00AB4227" w:rsidRDefault="0048172D">
      <w:pPr>
        <w:pStyle w:val="20"/>
        <w:adjustRightInd w:val="0"/>
        <w:snapToGrid w:val="0"/>
        <w:rPr>
          <w:rFonts w:cs="Times New Roman"/>
          <w:sz w:val="21"/>
          <w:szCs w:val="21"/>
        </w:rPr>
      </w:pPr>
      <w:r>
        <w:rPr>
          <w:rFonts w:cs="Times New Roman"/>
          <w:sz w:val="21"/>
          <w:szCs w:val="21"/>
        </w:rPr>
        <w:t>GB/T 10002.2</w:t>
      </w:r>
      <w:r>
        <w:rPr>
          <w:rFonts w:cs="Times New Roman"/>
          <w:sz w:val="21"/>
          <w:szCs w:val="21"/>
        </w:rPr>
        <w:t>给水用聚氯乙烯（</w:t>
      </w:r>
      <w:r>
        <w:rPr>
          <w:rFonts w:cs="Times New Roman"/>
          <w:sz w:val="21"/>
          <w:szCs w:val="21"/>
        </w:rPr>
        <w:t>PVC-U</w:t>
      </w:r>
      <w:r>
        <w:rPr>
          <w:rFonts w:cs="Times New Roman"/>
          <w:sz w:val="21"/>
          <w:szCs w:val="21"/>
        </w:rPr>
        <w:t>）管件</w:t>
      </w:r>
    </w:p>
    <w:p w14:paraId="272B6A4A" w14:textId="77777777" w:rsidR="00AB4227" w:rsidRDefault="0048172D">
      <w:pPr>
        <w:pStyle w:val="20"/>
        <w:adjustRightInd w:val="0"/>
        <w:snapToGrid w:val="0"/>
        <w:rPr>
          <w:rFonts w:cs="Times New Roman"/>
          <w:sz w:val="21"/>
          <w:szCs w:val="21"/>
        </w:rPr>
      </w:pPr>
      <w:r>
        <w:rPr>
          <w:rFonts w:cs="Times New Roman"/>
          <w:sz w:val="21"/>
          <w:szCs w:val="21"/>
        </w:rPr>
        <w:t xml:space="preserve">SL/T825 </w:t>
      </w:r>
      <w:r>
        <w:rPr>
          <w:rFonts w:cs="Times New Roman"/>
          <w:sz w:val="21"/>
          <w:szCs w:val="21"/>
        </w:rPr>
        <w:t>小型农村供水工程规范化提升技术规程</w:t>
      </w:r>
    </w:p>
    <w:p w14:paraId="47996D54" w14:textId="77777777" w:rsidR="00AB4227" w:rsidRDefault="0048172D">
      <w:pPr>
        <w:pStyle w:val="20"/>
        <w:adjustRightInd w:val="0"/>
        <w:snapToGrid w:val="0"/>
        <w:ind w:firstLineChars="0" w:firstLine="411"/>
        <w:rPr>
          <w:rFonts w:cs="Times New Roman"/>
          <w:sz w:val="21"/>
          <w:szCs w:val="21"/>
        </w:rPr>
      </w:pPr>
      <w:r>
        <w:rPr>
          <w:rFonts w:cs="Times New Roman"/>
          <w:sz w:val="21"/>
          <w:szCs w:val="21"/>
        </w:rPr>
        <w:t xml:space="preserve">HG/T 5926 </w:t>
      </w:r>
      <w:r>
        <w:rPr>
          <w:rFonts w:cs="Times New Roman"/>
          <w:sz w:val="21"/>
          <w:szCs w:val="21"/>
        </w:rPr>
        <w:t>水处理用生物药剂</w:t>
      </w:r>
      <w:r>
        <w:rPr>
          <w:rFonts w:cs="Times New Roman"/>
          <w:sz w:val="21"/>
          <w:szCs w:val="21"/>
        </w:rPr>
        <w:t xml:space="preserve"> </w:t>
      </w:r>
      <w:r>
        <w:rPr>
          <w:rFonts w:cs="Times New Roman"/>
          <w:sz w:val="21"/>
          <w:szCs w:val="21"/>
        </w:rPr>
        <w:t>硝化菌剂和反硝化菌剂</w:t>
      </w:r>
    </w:p>
    <w:p w14:paraId="6403FE30" w14:textId="77777777" w:rsidR="00AB4227" w:rsidRDefault="0048172D">
      <w:pPr>
        <w:pStyle w:val="20"/>
        <w:adjustRightInd w:val="0"/>
        <w:snapToGrid w:val="0"/>
        <w:rPr>
          <w:rFonts w:cs="Times New Roman"/>
          <w:sz w:val="21"/>
          <w:szCs w:val="21"/>
        </w:rPr>
      </w:pPr>
      <w:r>
        <w:rPr>
          <w:rFonts w:cs="Times New Roman"/>
          <w:sz w:val="21"/>
          <w:szCs w:val="21"/>
        </w:rPr>
        <w:t xml:space="preserve">HG 20520 </w:t>
      </w:r>
      <w:r>
        <w:rPr>
          <w:rFonts w:cs="Times New Roman"/>
          <w:sz w:val="21"/>
          <w:szCs w:val="21"/>
        </w:rPr>
        <w:t>玻璃钢</w:t>
      </w:r>
      <w:r>
        <w:rPr>
          <w:rFonts w:cs="Times New Roman"/>
          <w:sz w:val="21"/>
          <w:szCs w:val="21"/>
        </w:rPr>
        <w:t>/</w:t>
      </w:r>
      <w:r>
        <w:rPr>
          <w:rFonts w:cs="Times New Roman"/>
          <w:sz w:val="21"/>
          <w:szCs w:val="21"/>
        </w:rPr>
        <w:t>聚氯乙烯（</w:t>
      </w:r>
      <w:r>
        <w:rPr>
          <w:rFonts w:cs="Times New Roman"/>
          <w:sz w:val="21"/>
          <w:szCs w:val="21"/>
        </w:rPr>
        <w:t>FRP/PVC</w:t>
      </w:r>
      <w:r>
        <w:rPr>
          <w:rFonts w:cs="Times New Roman"/>
          <w:sz w:val="21"/>
          <w:szCs w:val="21"/>
        </w:rPr>
        <w:t>）复合管道设计规定</w:t>
      </w:r>
    </w:p>
    <w:p w14:paraId="083B6D01" w14:textId="77777777" w:rsidR="00AB4227" w:rsidRDefault="0048172D">
      <w:pPr>
        <w:pStyle w:val="20"/>
        <w:adjustRightInd w:val="0"/>
        <w:snapToGrid w:val="0"/>
        <w:rPr>
          <w:rFonts w:cs="Times New Roman"/>
          <w:sz w:val="21"/>
          <w:szCs w:val="21"/>
        </w:rPr>
      </w:pPr>
      <w:r>
        <w:rPr>
          <w:rFonts w:cs="Times New Roman"/>
          <w:sz w:val="21"/>
          <w:szCs w:val="21"/>
        </w:rPr>
        <w:t xml:space="preserve">CECS 265 </w:t>
      </w:r>
      <w:r>
        <w:rPr>
          <w:rFonts w:cs="Times New Roman"/>
          <w:sz w:val="21"/>
          <w:szCs w:val="21"/>
        </w:rPr>
        <w:t>曝气生物滤池工程技术规程</w:t>
      </w:r>
    </w:p>
    <w:p w14:paraId="6AD1729D" w14:textId="77777777" w:rsidR="00AB4227" w:rsidRDefault="0048172D">
      <w:pPr>
        <w:pStyle w:val="20"/>
        <w:adjustRightInd w:val="0"/>
        <w:snapToGrid w:val="0"/>
        <w:rPr>
          <w:rFonts w:cs="Times New Roman"/>
          <w:sz w:val="21"/>
          <w:szCs w:val="21"/>
        </w:rPr>
      </w:pPr>
      <w:r>
        <w:rPr>
          <w:rFonts w:cs="Times New Roman"/>
          <w:sz w:val="21"/>
          <w:szCs w:val="21"/>
        </w:rPr>
        <w:t xml:space="preserve">CJJ/T 229 </w:t>
      </w:r>
      <w:r>
        <w:rPr>
          <w:rFonts w:cs="Times New Roman"/>
          <w:sz w:val="21"/>
          <w:szCs w:val="21"/>
        </w:rPr>
        <w:t>城镇给水微污染水预处理技术规程</w:t>
      </w:r>
    </w:p>
    <w:p w14:paraId="0026D42B" w14:textId="77777777" w:rsidR="00AB4227" w:rsidRDefault="0048172D">
      <w:pPr>
        <w:pStyle w:val="20"/>
        <w:adjustRightInd w:val="0"/>
        <w:snapToGrid w:val="0"/>
        <w:rPr>
          <w:rFonts w:cs="Times New Roman"/>
          <w:sz w:val="21"/>
          <w:szCs w:val="21"/>
        </w:rPr>
      </w:pPr>
      <w:r>
        <w:rPr>
          <w:rFonts w:cs="Times New Roman"/>
          <w:sz w:val="21"/>
          <w:szCs w:val="21"/>
        </w:rPr>
        <w:t xml:space="preserve">GB/T 7701.4 </w:t>
      </w:r>
      <w:r>
        <w:rPr>
          <w:rFonts w:cs="Times New Roman"/>
          <w:sz w:val="21"/>
          <w:szCs w:val="21"/>
        </w:rPr>
        <w:t>水处理用活性炭</w:t>
      </w:r>
    </w:p>
    <w:p w14:paraId="6CA63515" w14:textId="77777777" w:rsidR="00AB4227" w:rsidRDefault="0048172D">
      <w:pPr>
        <w:pStyle w:val="aff"/>
        <w:adjustRightInd w:val="0"/>
        <w:snapToGrid w:val="0"/>
        <w:spacing w:line="360" w:lineRule="auto"/>
        <w:ind w:firstLineChars="0" w:firstLine="0"/>
        <w:jc w:val="left"/>
        <w:outlineLvl w:val="0"/>
        <w:rPr>
          <w:rFonts w:eastAsia="黑体" w:cs="Times New Roman"/>
          <w:b/>
          <w:bCs/>
          <w:kern w:val="44"/>
          <w:sz w:val="30"/>
          <w:szCs w:val="21"/>
        </w:rPr>
      </w:pPr>
      <w:bookmarkStart w:id="28" w:name="_Toc7726"/>
      <w:bookmarkStart w:id="29" w:name="_Toc32521"/>
      <w:bookmarkStart w:id="30" w:name="_Toc6240"/>
      <w:bookmarkStart w:id="31" w:name="OLE_LINK3"/>
      <w:r>
        <w:rPr>
          <w:rFonts w:cs="Times New Roman"/>
          <w:b/>
          <w:bCs/>
          <w:szCs w:val="21"/>
        </w:rPr>
        <w:t xml:space="preserve">3 </w:t>
      </w:r>
      <w:r>
        <w:rPr>
          <w:rFonts w:cs="Times New Roman"/>
          <w:b/>
          <w:bCs/>
          <w:kern w:val="44"/>
          <w:szCs w:val="21"/>
        </w:rPr>
        <w:t>术语和定义</w:t>
      </w:r>
      <w:bookmarkEnd w:id="28"/>
      <w:bookmarkEnd w:id="29"/>
      <w:bookmarkEnd w:id="30"/>
    </w:p>
    <w:bookmarkEnd w:id="31"/>
    <w:p w14:paraId="3F4F6110" w14:textId="77777777" w:rsidR="00AB4227" w:rsidRDefault="0048172D">
      <w:pPr>
        <w:adjustRightInd w:val="0"/>
        <w:snapToGrid w:val="0"/>
        <w:spacing w:line="360" w:lineRule="auto"/>
        <w:ind w:firstLineChars="200" w:firstLine="420"/>
        <w:rPr>
          <w:rFonts w:cs="Times New Roman"/>
          <w:szCs w:val="21"/>
        </w:rPr>
      </w:pPr>
      <w:r>
        <w:rPr>
          <w:rFonts w:cs="Times New Roman"/>
          <w:szCs w:val="21"/>
        </w:rPr>
        <w:t>下列术语和定义适用于本文件。</w:t>
      </w:r>
    </w:p>
    <w:p w14:paraId="634B8365" w14:textId="77777777" w:rsidR="00AB4227" w:rsidRDefault="0048172D">
      <w:pPr>
        <w:pStyle w:val="aff"/>
        <w:adjustRightInd w:val="0"/>
        <w:snapToGrid w:val="0"/>
        <w:spacing w:line="360" w:lineRule="auto"/>
        <w:ind w:firstLineChars="0" w:firstLine="0"/>
        <w:jc w:val="left"/>
        <w:outlineLvl w:val="1"/>
        <w:rPr>
          <w:rFonts w:cs="Times New Roman"/>
        </w:rPr>
      </w:pPr>
      <w:bookmarkStart w:id="32" w:name="_Toc186791735"/>
      <w:bookmarkStart w:id="33" w:name="_Toc10519"/>
      <w:bookmarkStart w:id="34" w:name="_Toc13111"/>
      <w:r>
        <w:rPr>
          <w:rFonts w:cs="Times New Roman"/>
          <w:b/>
          <w:bCs/>
          <w:color w:val="000000"/>
          <w:kern w:val="0"/>
          <w:szCs w:val="21"/>
          <w:lang w:bidi="ar"/>
        </w:rPr>
        <w:t>3.1</w:t>
      </w:r>
      <w:bookmarkEnd w:id="32"/>
      <w:r>
        <w:rPr>
          <w:rFonts w:cs="Times New Roman"/>
          <w:b/>
          <w:bCs/>
          <w:color w:val="000000"/>
          <w:kern w:val="0"/>
          <w:szCs w:val="21"/>
          <w:lang w:bidi="ar"/>
        </w:rPr>
        <w:t xml:space="preserve"> </w:t>
      </w:r>
      <w:r>
        <w:rPr>
          <w:rFonts w:cs="Times New Roman"/>
          <w:color w:val="000000"/>
          <w:kern w:val="0"/>
          <w:szCs w:val="21"/>
          <w:lang w:bidi="ar"/>
        </w:rPr>
        <w:t>硝酸盐超标地下水</w:t>
      </w:r>
      <w:r>
        <w:rPr>
          <w:rFonts w:cs="Times New Roman"/>
          <w:color w:val="000000"/>
          <w:kern w:val="0"/>
          <w:szCs w:val="21"/>
          <w:lang w:bidi="ar"/>
        </w:rPr>
        <w:t xml:space="preserve"> nitrate </w:t>
      </w:r>
      <w:r>
        <w:rPr>
          <w:rFonts w:cs="Times New Roman"/>
          <w:color w:val="000000"/>
          <w:kern w:val="0"/>
          <w:szCs w:val="21"/>
          <w:lang w:bidi="ar"/>
        </w:rPr>
        <w:t>exceeding groundwater</w:t>
      </w:r>
      <w:bookmarkEnd w:id="33"/>
      <w:bookmarkEnd w:id="34"/>
    </w:p>
    <w:p w14:paraId="62FC98B3" w14:textId="77777777" w:rsidR="00AB4227" w:rsidRDefault="0048172D">
      <w:pPr>
        <w:adjustRightInd w:val="0"/>
        <w:snapToGrid w:val="0"/>
        <w:spacing w:line="360" w:lineRule="auto"/>
        <w:ind w:firstLineChars="200" w:firstLine="420"/>
        <w:rPr>
          <w:rFonts w:cs="Times New Roman"/>
          <w:szCs w:val="21"/>
        </w:rPr>
      </w:pPr>
      <w:r>
        <w:rPr>
          <w:rFonts w:cs="Times New Roman"/>
          <w:szCs w:val="21"/>
        </w:rPr>
        <w:t>硝酸盐（以</w:t>
      </w:r>
      <w:r>
        <w:rPr>
          <w:rFonts w:cs="Times New Roman"/>
          <w:szCs w:val="21"/>
        </w:rPr>
        <w:t>N</w:t>
      </w:r>
      <w:r>
        <w:rPr>
          <w:rFonts w:cs="Times New Roman"/>
          <w:szCs w:val="21"/>
        </w:rPr>
        <w:t>计）的含量超过了</w:t>
      </w:r>
      <w:r>
        <w:rPr>
          <w:rFonts w:cs="Times New Roman"/>
          <w:szCs w:val="21"/>
        </w:rPr>
        <w:t>GB 5749</w:t>
      </w:r>
      <w:r>
        <w:rPr>
          <w:rFonts w:cs="Times New Roman"/>
          <w:szCs w:val="21"/>
        </w:rPr>
        <w:t>《生活饮用水卫生标准》规定的安全标准限值（以</w:t>
      </w:r>
      <w:r>
        <w:rPr>
          <w:rFonts w:cs="Times New Roman"/>
          <w:szCs w:val="21"/>
        </w:rPr>
        <w:t>N</w:t>
      </w:r>
      <w:r>
        <w:rPr>
          <w:rFonts w:cs="Times New Roman"/>
          <w:szCs w:val="21"/>
        </w:rPr>
        <w:t>计，不得超过</w:t>
      </w:r>
      <w:r>
        <w:rPr>
          <w:rFonts w:cs="Times New Roman"/>
          <w:szCs w:val="21"/>
        </w:rPr>
        <w:t>10mg/L</w:t>
      </w:r>
      <w:r>
        <w:rPr>
          <w:rFonts w:cs="Times New Roman"/>
          <w:szCs w:val="21"/>
        </w:rPr>
        <w:t>）的地下水。</w:t>
      </w:r>
    </w:p>
    <w:p w14:paraId="0F7AF128" w14:textId="77777777" w:rsidR="00AB4227" w:rsidRDefault="0048172D">
      <w:pPr>
        <w:pStyle w:val="aff"/>
        <w:adjustRightInd w:val="0"/>
        <w:snapToGrid w:val="0"/>
        <w:spacing w:line="360" w:lineRule="auto"/>
        <w:ind w:firstLineChars="0" w:firstLine="0"/>
        <w:jc w:val="left"/>
        <w:outlineLvl w:val="1"/>
        <w:rPr>
          <w:rFonts w:cs="Times New Roman"/>
          <w:color w:val="000000"/>
          <w:kern w:val="0"/>
          <w:szCs w:val="21"/>
          <w:lang w:bidi="ar"/>
        </w:rPr>
      </w:pPr>
      <w:bookmarkStart w:id="35" w:name="_Toc186791736"/>
      <w:bookmarkStart w:id="36" w:name="_Toc11403"/>
      <w:bookmarkStart w:id="37" w:name="_Toc26625"/>
      <w:r>
        <w:rPr>
          <w:rFonts w:cs="Times New Roman"/>
          <w:b/>
          <w:bCs/>
          <w:color w:val="000000"/>
          <w:kern w:val="0"/>
          <w:szCs w:val="21"/>
          <w:lang w:bidi="ar"/>
        </w:rPr>
        <w:t>3.2</w:t>
      </w:r>
      <w:bookmarkEnd w:id="35"/>
      <w:r>
        <w:rPr>
          <w:rFonts w:cs="Times New Roman"/>
          <w:b/>
          <w:bCs/>
          <w:color w:val="000000"/>
          <w:kern w:val="0"/>
          <w:szCs w:val="21"/>
          <w:lang w:bidi="ar"/>
        </w:rPr>
        <w:t xml:space="preserve"> </w:t>
      </w:r>
      <w:r>
        <w:rPr>
          <w:rFonts w:cs="Times New Roman"/>
          <w:color w:val="000000"/>
          <w:kern w:val="0"/>
          <w:szCs w:val="21"/>
          <w:lang w:bidi="ar"/>
        </w:rPr>
        <w:t>生物反硝化</w:t>
      </w:r>
      <w:r>
        <w:rPr>
          <w:rFonts w:cs="Times New Roman"/>
          <w:color w:val="000000"/>
          <w:kern w:val="0"/>
          <w:szCs w:val="21"/>
          <w:lang w:bidi="ar"/>
        </w:rPr>
        <w:t xml:space="preserve"> biological denitrification process</w:t>
      </w:r>
      <w:bookmarkEnd w:id="36"/>
      <w:bookmarkEnd w:id="37"/>
    </w:p>
    <w:p w14:paraId="7A82551C" w14:textId="77777777" w:rsidR="00AB4227" w:rsidRDefault="0048172D">
      <w:pPr>
        <w:pStyle w:val="aff"/>
        <w:adjustRightInd w:val="0"/>
        <w:snapToGrid w:val="0"/>
        <w:spacing w:line="360" w:lineRule="auto"/>
        <w:rPr>
          <w:rFonts w:cs="Times New Roman"/>
          <w:color w:val="000000"/>
          <w:kern w:val="0"/>
          <w:szCs w:val="21"/>
          <w:lang w:bidi="ar"/>
        </w:rPr>
      </w:pPr>
      <w:r>
        <w:rPr>
          <w:rFonts w:cs="Times New Roman"/>
          <w:color w:val="000000"/>
          <w:kern w:val="0"/>
          <w:szCs w:val="21"/>
          <w:lang w:bidi="ar"/>
        </w:rPr>
        <w:t>在缺氧条件下，异养型反硝化细菌以有机碳源为电子供体，将硝酸盐逐步还原为氮气的微生物代谢过程。</w:t>
      </w:r>
    </w:p>
    <w:p w14:paraId="7507FB3F" w14:textId="77777777" w:rsidR="00AB4227" w:rsidRDefault="0048172D">
      <w:pPr>
        <w:pStyle w:val="aff"/>
        <w:adjustRightInd w:val="0"/>
        <w:snapToGrid w:val="0"/>
        <w:spacing w:line="360" w:lineRule="auto"/>
        <w:ind w:firstLineChars="0" w:firstLine="0"/>
        <w:jc w:val="left"/>
        <w:outlineLvl w:val="1"/>
        <w:rPr>
          <w:rFonts w:cs="Times New Roman"/>
          <w:color w:val="000000"/>
          <w:kern w:val="0"/>
          <w:szCs w:val="21"/>
          <w:lang w:bidi="ar"/>
        </w:rPr>
      </w:pPr>
      <w:bookmarkStart w:id="38" w:name="_Toc186791737"/>
      <w:bookmarkStart w:id="39" w:name="_Toc18281"/>
      <w:bookmarkStart w:id="40" w:name="_Toc17764"/>
      <w:r>
        <w:rPr>
          <w:rFonts w:cs="Times New Roman"/>
          <w:b/>
          <w:bCs/>
          <w:color w:val="000000"/>
          <w:kern w:val="0"/>
          <w:szCs w:val="21"/>
          <w:lang w:bidi="ar"/>
        </w:rPr>
        <w:t>3.3</w:t>
      </w:r>
      <w:bookmarkEnd w:id="38"/>
      <w:r>
        <w:rPr>
          <w:rFonts w:cs="Times New Roman"/>
          <w:b/>
          <w:bCs/>
          <w:color w:val="000000"/>
          <w:kern w:val="0"/>
          <w:szCs w:val="21"/>
          <w:lang w:bidi="ar"/>
        </w:rPr>
        <w:t xml:space="preserve"> </w:t>
      </w:r>
      <w:r>
        <w:rPr>
          <w:rFonts w:cs="Times New Roman"/>
          <w:color w:val="000000"/>
          <w:kern w:val="0"/>
          <w:szCs w:val="21"/>
          <w:lang w:bidi="ar"/>
        </w:rPr>
        <w:t>自养反硝化</w:t>
      </w:r>
      <w:r>
        <w:rPr>
          <w:rFonts w:cs="Times New Roman"/>
          <w:color w:val="000000"/>
          <w:kern w:val="0"/>
          <w:szCs w:val="21"/>
          <w:lang w:bidi="ar"/>
        </w:rPr>
        <w:t xml:space="preserve"> </w:t>
      </w:r>
      <w:r>
        <w:rPr>
          <w:rFonts w:cs="Times New Roman" w:hint="eastAsia"/>
          <w:color w:val="000000"/>
          <w:kern w:val="0"/>
          <w:szCs w:val="21"/>
          <w:lang w:bidi="ar"/>
        </w:rPr>
        <w:t>a</w:t>
      </w:r>
      <w:r>
        <w:rPr>
          <w:rFonts w:cs="Times New Roman"/>
          <w:color w:val="000000"/>
          <w:kern w:val="0"/>
          <w:szCs w:val="21"/>
          <w:lang w:bidi="ar"/>
        </w:rPr>
        <w:t>utotrophic denitrification</w:t>
      </w:r>
      <w:bookmarkEnd w:id="39"/>
      <w:bookmarkEnd w:id="40"/>
    </w:p>
    <w:p w14:paraId="4E3E8544" w14:textId="77777777" w:rsidR="00AB4227" w:rsidRDefault="0048172D">
      <w:pPr>
        <w:adjustRightInd w:val="0"/>
        <w:snapToGrid w:val="0"/>
        <w:spacing w:line="360" w:lineRule="auto"/>
        <w:ind w:firstLineChars="200" w:firstLine="420"/>
        <w:rPr>
          <w:rFonts w:cs="Times New Roman"/>
          <w:color w:val="000000"/>
          <w:kern w:val="0"/>
          <w:szCs w:val="21"/>
          <w:lang w:bidi="ar"/>
        </w:rPr>
      </w:pPr>
      <w:r>
        <w:rPr>
          <w:rFonts w:cs="Times New Roman"/>
          <w:color w:val="000000"/>
          <w:kern w:val="0"/>
          <w:szCs w:val="21"/>
          <w:lang w:bidi="ar"/>
        </w:rPr>
        <w:t>部分微生物利用还原态无机物（如硫化物、氢气等）作为电子供体，把硝酸盐转化为氮</w:t>
      </w:r>
      <w:r>
        <w:rPr>
          <w:rFonts w:cs="Times New Roman"/>
          <w:color w:val="000000"/>
          <w:kern w:val="0"/>
          <w:szCs w:val="21"/>
          <w:lang w:bidi="ar"/>
        </w:rPr>
        <w:lastRenderedPageBreak/>
        <w:t>气，无需外加有机碳源的反硝化方式。</w:t>
      </w:r>
    </w:p>
    <w:p w14:paraId="4F8B5266" w14:textId="77777777" w:rsidR="00AB4227" w:rsidRDefault="0048172D">
      <w:pPr>
        <w:pStyle w:val="aff"/>
        <w:adjustRightInd w:val="0"/>
        <w:snapToGrid w:val="0"/>
        <w:spacing w:line="360" w:lineRule="auto"/>
        <w:ind w:firstLineChars="0" w:firstLine="0"/>
        <w:jc w:val="left"/>
        <w:outlineLvl w:val="1"/>
        <w:rPr>
          <w:rFonts w:cs="Times New Roman"/>
          <w:color w:val="000000"/>
          <w:kern w:val="0"/>
          <w:szCs w:val="21"/>
          <w:lang w:bidi="ar"/>
        </w:rPr>
      </w:pPr>
      <w:bookmarkStart w:id="41" w:name="_Toc186791738"/>
      <w:bookmarkStart w:id="42" w:name="_Toc7055"/>
      <w:bookmarkStart w:id="43" w:name="_Toc22245"/>
      <w:r>
        <w:rPr>
          <w:rFonts w:cs="Times New Roman"/>
          <w:b/>
          <w:bCs/>
          <w:color w:val="000000"/>
          <w:kern w:val="0"/>
          <w:szCs w:val="21"/>
          <w:lang w:bidi="ar"/>
        </w:rPr>
        <w:t>3.4</w:t>
      </w:r>
      <w:bookmarkEnd w:id="41"/>
      <w:r>
        <w:rPr>
          <w:rFonts w:cs="Times New Roman"/>
          <w:b/>
          <w:bCs/>
          <w:color w:val="000000"/>
          <w:kern w:val="0"/>
          <w:szCs w:val="21"/>
          <w:lang w:bidi="ar"/>
        </w:rPr>
        <w:t xml:space="preserve"> </w:t>
      </w:r>
      <w:r>
        <w:rPr>
          <w:rFonts w:cs="Times New Roman"/>
          <w:color w:val="000000"/>
          <w:kern w:val="0"/>
          <w:szCs w:val="21"/>
          <w:lang w:bidi="ar"/>
        </w:rPr>
        <w:t>生物膜法</w:t>
      </w:r>
      <w:r>
        <w:rPr>
          <w:rFonts w:cs="Times New Roman"/>
          <w:color w:val="000000"/>
          <w:kern w:val="0"/>
          <w:szCs w:val="21"/>
          <w:lang w:bidi="ar"/>
        </w:rPr>
        <w:t xml:space="preserve"> biofilm process</w:t>
      </w:r>
      <w:bookmarkEnd w:id="42"/>
      <w:bookmarkEnd w:id="43"/>
    </w:p>
    <w:p w14:paraId="2EE504F2" w14:textId="77777777" w:rsidR="00AB4227" w:rsidRDefault="0048172D">
      <w:pPr>
        <w:adjustRightInd w:val="0"/>
        <w:snapToGrid w:val="0"/>
        <w:spacing w:line="360" w:lineRule="auto"/>
        <w:ind w:firstLineChars="200" w:firstLine="420"/>
        <w:rPr>
          <w:rFonts w:cs="Times New Roman"/>
          <w:color w:val="000000"/>
          <w:kern w:val="0"/>
          <w:szCs w:val="21"/>
          <w:lang w:bidi="ar"/>
        </w:rPr>
      </w:pPr>
      <w:r>
        <w:rPr>
          <w:rFonts w:cs="Times New Roman"/>
          <w:color w:val="000000"/>
          <w:kern w:val="0"/>
          <w:szCs w:val="21"/>
          <w:lang w:bidi="ar"/>
        </w:rPr>
        <w:t>微生物附着在载体表面形成生物膜，废水流经生物膜时，污染物在微生物作用下得以降解和转化。</w:t>
      </w:r>
    </w:p>
    <w:p w14:paraId="22FB955A" w14:textId="77777777" w:rsidR="00AB4227" w:rsidRDefault="0048172D">
      <w:pPr>
        <w:pStyle w:val="aff"/>
        <w:adjustRightInd w:val="0"/>
        <w:snapToGrid w:val="0"/>
        <w:spacing w:line="360" w:lineRule="auto"/>
        <w:ind w:firstLineChars="0" w:firstLine="0"/>
        <w:jc w:val="left"/>
        <w:outlineLvl w:val="1"/>
        <w:rPr>
          <w:rFonts w:cs="Times New Roman"/>
          <w:color w:val="000000"/>
          <w:kern w:val="0"/>
          <w:szCs w:val="21"/>
          <w:lang w:bidi="ar"/>
        </w:rPr>
      </w:pPr>
      <w:bookmarkStart w:id="44" w:name="_Toc186791739"/>
      <w:bookmarkStart w:id="45" w:name="_Toc13196"/>
      <w:bookmarkStart w:id="46" w:name="_Toc3735"/>
      <w:r>
        <w:rPr>
          <w:rFonts w:cs="Times New Roman"/>
          <w:b/>
          <w:bCs/>
          <w:color w:val="000000"/>
          <w:kern w:val="0"/>
          <w:szCs w:val="21"/>
          <w:lang w:bidi="ar"/>
        </w:rPr>
        <w:t>3.5</w:t>
      </w:r>
      <w:bookmarkEnd w:id="44"/>
      <w:r>
        <w:rPr>
          <w:rFonts w:cs="Times New Roman"/>
          <w:b/>
          <w:bCs/>
          <w:color w:val="000000"/>
          <w:kern w:val="0"/>
          <w:szCs w:val="21"/>
          <w:lang w:bidi="ar"/>
        </w:rPr>
        <w:t xml:space="preserve"> </w:t>
      </w:r>
      <w:r>
        <w:rPr>
          <w:rFonts w:cs="Times New Roman"/>
          <w:color w:val="000000"/>
          <w:kern w:val="0"/>
          <w:szCs w:val="21"/>
          <w:lang w:bidi="ar"/>
        </w:rPr>
        <w:t>硝酸盐处理功能菌</w:t>
      </w:r>
      <w:r>
        <w:rPr>
          <w:rFonts w:cs="Times New Roman"/>
          <w:color w:val="000000"/>
          <w:kern w:val="0"/>
          <w:szCs w:val="21"/>
          <w:lang w:bidi="ar"/>
        </w:rPr>
        <w:t xml:space="preserve"> nitrate removal bacteria</w:t>
      </w:r>
      <w:bookmarkEnd w:id="45"/>
      <w:bookmarkEnd w:id="46"/>
    </w:p>
    <w:p w14:paraId="289D6494" w14:textId="77777777" w:rsidR="00AB4227" w:rsidRDefault="0048172D">
      <w:pPr>
        <w:adjustRightInd w:val="0"/>
        <w:snapToGrid w:val="0"/>
        <w:spacing w:line="360" w:lineRule="auto"/>
        <w:ind w:firstLineChars="200" w:firstLine="420"/>
        <w:rPr>
          <w:rFonts w:cs="Times New Roman"/>
          <w:szCs w:val="21"/>
        </w:rPr>
      </w:pPr>
      <w:r>
        <w:rPr>
          <w:rFonts w:cs="Times New Roman" w:hint="eastAsia"/>
          <w:szCs w:val="21"/>
        </w:rPr>
        <w:t>具有高效还原硝酸盐为氮气能力的微生物菌群。</w:t>
      </w:r>
    </w:p>
    <w:p w14:paraId="39285529" w14:textId="77777777" w:rsidR="00AB4227" w:rsidRDefault="0048172D">
      <w:pPr>
        <w:pStyle w:val="aff"/>
        <w:adjustRightInd w:val="0"/>
        <w:snapToGrid w:val="0"/>
        <w:spacing w:line="360" w:lineRule="auto"/>
        <w:ind w:firstLineChars="0" w:firstLine="0"/>
        <w:jc w:val="left"/>
        <w:outlineLvl w:val="1"/>
        <w:rPr>
          <w:rFonts w:cs="Times New Roman"/>
          <w:color w:val="000000"/>
          <w:kern w:val="0"/>
          <w:szCs w:val="21"/>
          <w:lang w:bidi="ar"/>
        </w:rPr>
      </w:pPr>
      <w:bookmarkStart w:id="47" w:name="_Toc186791740"/>
      <w:bookmarkStart w:id="48" w:name="_Toc26173"/>
      <w:bookmarkStart w:id="49" w:name="_Toc10062"/>
      <w:r>
        <w:rPr>
          <w:rFonts w:cs="Times New Roman"/>
          <w:b/>
          <w:bCs/>
          <w:color w:val="000000"/>
          <w:kern w:val="0"/>
          <w:szCs w:val="21"/>
          <w:lang w:bidi="ar"/>
        </w:rPr>
        <w:t>3.6</w:t>
      </w:r>
      <w:bookmarkEnd w:id="47"/>
      <w:r>
        <w:rPr>
          <w:rFonts w:cs="Times New Roman"/>
          <w:b/>
          <w:bCs/>
          <w:color w:val="000000"/>
          <w:kern w:val="0"/>
          <w:szCs w:val="21"/>
          <w:lang w:bidi="ar"/>
        </w:rPr>
        <w:t xml:space="preserve"> </w:t>
      </w:r>
      <w:r>
        <w:rPr>
          <w:rFonts w:cs="Times New Roman"/>
          <w:color w:val="000000"/>
          <w:kern w:val="0"/>
          <w:szCs w:val="21"/>
          <w:lang w:bidi="ar"/>
        </w:rPr>
        <w:t>碳源</w:t>
      </w:r>
      <w:r>
        <w:rPr>
          <w:rFonts w:cs="Times New Roman"/>
          <w:color w:val="000000"/>
          <w:kern w:val="0"/>
          <w:szCs w:val="21"/>
          <w:lang w:bidi="ar"/>
        </w:rPr>
        <w:t xml:space="preserve"> carbon source</w:t>
      </w:r>
      <w:bookmarkEnd w:id="48"/>
      <w:bookmarkEnd w:id="49"/>
    </w:p>
    <w:p w14:paraId="5B57E61A" w14:textId="77777777" w:rsidR="00AB4227" w:rsidRDefault="0048172D">
      <w:pPr>
        <w:adjustRightInd w:val="0"/>
        <w:snapToGrid w:val="0"/>
        <w:spacing w:line="360" w:lineRule="auto"/>
        <w:ind w:firstLineChars="200" w:firstLine="420"/>
        <w:rPr>
          <w:rFonts w:cs="Times New Roman"/>
        </w:rPr>
      </w:pPr>
      <w:r>
        <w:rPr>
          <w:rFonts w:cs="Times New Roman"/>
          <w:szCs w:val="21"/>
        </w:rPr>
        <w:t>用于构成微生物细胞和代谢产物中碳素来源的营养物质，硝酸盐超标地下水生物高效处理设备中常用的碳源为葡萄糖、乙酸钠</w:t>
      </w:r>
      <w:r>
        <w:rPr>
          <w:rFonts w:cs="Times New Roman" w:hint="eastAsia"/>
          <w:szCs w:val="21"/>
        </w:rPr>
        <w:t>、甲醇</w:t>
      </w:r>
      <w:r>
        <w:rPr>
          <w:rFonts w:cs="Times New Roman"/>
          <w:szCs w:val="21"/>
        </w:rPr>
        <w:t>等。</w:t>
      </w:r>
    </w:p>
    <w:p w14:paraId="562355FA" w14:textId="77777777" w:rsidR="00AB4227" w:rsidRDefault="0048172D">
      <w:pPr>
        <w:pStyle w:val="aff"/>
        <w:adjustRightInd w:val="0"/>
        <w:snapToGrid w:val="0"/>
        <w:spacing w:line="360" w:lineRule="auto"/>
        <w:ind w:firstLineChars="0" w:firstLine="0"/>
        <w:jc w:val="left"/>
        <w:outlineLvl w:val="1"/>
        <w:rPr>
          <w:rFonts w:cs="Times New Roman"/>
          <w:color w:val="000000"/>
          <w:kern w:val="0"/>
          <w:szCs w:val="21"/>
          <w:lang w:bidi="ar"/>
        </w:rPr>
      </w:pPr>
      <w:bookmarkStart w:id="50" w:name="_Toc186791741"/>
      <w:bookmarkStart w:id="51" w:name="_Toc30305"/>
      <w:bookmarkStart w:id="52" w:name="_Toc20593"/>
      <w:r>
        <w:rPr>
          <w:rFonts w:cs="Times New Roman"/>
          <w:b/>
          <w:bCs/>
          <w:color w:val="000000"/>
          <w:kern w:val="0"/>
          <w:szCs w:val="21"/>
          <w:lang w:bidi="ar"/>
        </w:rPr>
        <w:t>3.7</w:t>
      </w:r>
      <w:bookmarkEnd w:id="50"/>
      <w:r>
        <w:rPr>
          <w:rFonts w:cs="Times New Roman"/>
          <w:b/>
          <w:bCs/>
          <w:color w:val="000000"/>
          <w:kern w:val="0"/>
          <w:szCs w:val="21"/>
          <w:lang w:bidi="ar"/>
        </w:rPr>
        <w:t xml:space="preserve"> </w:t>
      </w:r>
      <w:r>
        <w:rPr>
          <w:rFonts w:cs="Times New Roman"/>
          <w:color w:val="000000"/>
          <w:kern w:val="0"/>
          <w:szCs w:val="21"/>
          <w:lang w:bidi="ar"/>
        </w:rPr>
        <w:t>碳源投加装置</w:t>
      </w:r>
      <w:r>
        <w:rPr>
          <w:rFonts w:cs="Times New Roman"/>
          <w:color w:val="000000"/>
          <w:kern w:val="0"/>
          <w:szCs w:val="21"/>
          <w:lang w:bidi="ar"/>
        </w:rPr>
        <w:t xml:space="preserve"> carbon source dosing device</w:t>
      </w:r>
      <w:bookmarkEnd w:id="51"/>
      <w:bookmarkEnd w:id="52"/>
    </w:p>
    <w:p w14:paraId="24A62C31" w14:textId="77777777" w:rsidR="00AB4227" w:rsidRDefault="0048172D">
      <w:pPr>
        <w:adjustRightInd w:val="0"/>
        <w:snapToGrid w:val="0"/>
        <w:spacing w:line="360" w:lineRule="auto"/>
        <w:ind w:firstLineChars="200" w:firstLine="420"/>
        <w:rPr>
          <w:rFonts w:cs="Times New Roman"/>
          <w:szCs w:val="21"/>
        </w:rPr>
      </w:pPr>
      <w:r>
        <w:rPr>
          <w:rFonts w:cs="Times New Roman"/>
          <w:szCs w:val="21"/>
        </w:rPr>
        <w:t>通过计量泵或其他计量装置定时定量向设备内投放碳源的一种投加装置。</w:t>
      </w:r>
    </w:p>
    <w:p w14:paraId="15FA1B83" w14:textId="77777777" w:rsidR="00AB4227" w:rsidRDefault="0048172D">
      <w:pPr>
        <w:adjustRightInd w:val="0"/>
        <w:snapToGrid w:val="0"/>
        <w:spacing w:line="360" w:lineRule="auto"/>
        <w:jc w:val="left"/>
        <w:outlineLvl w:val="0"/>
        <w:rPr>
          <w:rFonts w:cs="Times New Roman"/>
          <w:b/>
          <w:bCs/>
          <w:szCs w:val="21"/>
        </w:rPr>
      </w:pPr>
      <w:bookmarkStart w:id="53" w:name="_Toc8989"/>
      <w:r>
        <w:rPr>
          <w:rFonts w:cs="Times New Roman"/>
          <w:b/>
          <w:bCs/>
          <w:szCs w:val="21"/>
        </w:rPr>
        <w:t xml:space="preserve">4 </w:t>
      </w:r>
      <w:r>
        <w:rPr>
          <w:rFonts w:cs="Times New Roman"/>
          <w:b/>
          <w:bCs/>
          <w:szCs w:val="21"/>
        </w:rPr>
        <w:t>工艺选择原则</w:t>
      </w:r>
      <w:bookmarkEnd w:id="53"/>
    </w:p>
    <w:p w14:paraId="36FE1D8C" w14:textId="77777777" w:rsidR="00AB4227" w:rsidRDefault="0048172D">
      <w:pPr>
        <w:adjustRightInd w:val="0"/>
        <w:snapToGrid w:val="0"/>
        <w:spacing w:line="360" w:lineRule="auto"/>
        <w:jc w:val="left"/>
        <w:outlineLvl w:val="1"/>
        <w:rPr>
          <w:rFonts w:cs="Times New Roman"/>
        </w:rPr>
      </w:pPr>
      <w:bookmarkStart w:id="54" w:name="_Toc186791743"/>
      <w:bookmarkStart w:id="55" w:name="_Toc14067"/>
      <w:bookmarkStart w:id="56" w:name="_Toc2318"/>
      <w:r>
        <w:rPr>
          <w:rFonts w:cs="Times New Roman"/>
          <w:b/>
          <w:bCs/>
        </w:rPr>
        <w:t>4.1</w:t>
      </w:r>
      <w:r>
        <w:rPr>
          <w:rFonts w:cs="Times New Roman"/>
        </w:rPr>
        <w:t xml:space="preserve"> </w:t>
      </w:r>
      <w:r>
        <w:rPr>
          <w:rFonts w:cs="Times New Roman"/>
        </w:rPr>
        <w:t>依据原水硝酸盐超标程度、有机物含量、浊度、酸碱度等关键水质指标来挑选工艺。例如，原水有机物匮乏但硝酸盐浓度高，</w:t>
      </w:r>
      <w:r>
        <w:rPr>
          <w:rFonts w:cs="Times New Roman" w:hint="eastAsia"/>
        </w:rPr>
        <w:t>宜选择</w:t>
      </w:r>
      <w:r>
        <w:rPr>
          <w:rFonts w:cs="Times New Roman"/>
        </w:rPr>
        <w:t>能补充碳源的工艺；若浊度高，需前置高效的预处理工艺</w:t>
      </w:r>
      <w:r>
        <w:rPr>
          <w:rFonts w:cs="Times New Roman" w:hint="eastAsia"/>
        </w:rPr>
        <w:t>组合</w:t>
      </w:r>
      <w:r>
        <w:rPr>
          <w:rFonts w:cs="Times New Roman"/>
        </w:rPr>
        <w:t>生物处理单元。</w:t>
      </w:r>
      <w:bookmarkEnd w:id="54"/>
      <w:bookmarkEnd w:id="55"/>
      <w:bookmarkEnd w:id="56"/>
    </w:p>
    <w:p w14:paraId="4DC05D19" w14:textId="77777777" w:rsidR="00AB4227" w:rsidRDefault="0048172D">
      <w:pPr>
        <w:adjustRightInd w:val="0"/>
        <w:snapToGrid w:val="0"/>
        <w:spacing w:line="360" w:lineRule="auto"/>
        <w:jc w:val="left"/>
        <w:outlineLvl w:val="1"/>
        <w:rPr>
          <w:rFonts w:cs="Times New Roman"/>
        </w:rPr>
      </w:pPr>
      <w:bookmarkStart w:id="57" w:name="_Toc186791744"/>
      <w:bookmarkStart w:id="58" w:name="_Toc31576"/>
      <w:bookmarkStart w:id="59" w:name="_Toc9425"/>
      <w:r>
        <w:rPr>
          <w:rFonts w:cs="Times New Roman"/>
          <w:b/>
          <w:bCs/>
        </w:rPr>
        <w:t>4.2</w:t>
      </w:r>
      <w:r>
        <w:rPr>
          <w:rFonts w:cs="Times New Roman"/>
        </w:rPr>
        <w:t xml:space="preserve"> </w:t>
      </w:r>
      <w:r>
        <w:rPr>
          <w:rFonts w:cs="Times New Roman"/>
        </w:rPr>
        <w:t>宜选用处理效能高、稳定性强</w:t>
      </w:r>
      <w:r>
        <w:rPr>
          <w:rFonts w:cs="Times New Roman" w:hint="eastAsia"/>
        </w:rPr>
        <w:t>、</w:t>
      </w:r>
      <w:r>
        <w:rPr>
          <w:rFonts w:cs="Times New Roman" w:hint="eastAsia"/>
        </w:rPr>
        <w:t>抗冲击负荷能力强</w:t>
      </w:r>
      <w:r>
        <w:rPr>
          <w:rFonts w:cs="Times New Roman"/>
        </w:rPr>
        <w:t>的工艺。</w:t>
      </w:r>
      <w:bookmarkEnd w:id="57"/>
      <w:bookmarkEnd w:id="58"/>
      <w:bookmarkEnd w:id="59"/>
    </w:p>
    <w:p w14:paraId="67C06EBB" w14:textId="77777777" w:rsidR="00AB4227" w:rsidRDefault="0048172D">
      <w:pPr>
        <w:adjustRightInd w:val="0"/>
        <w:snapToGrid w:val="0"/>
        <w:spacing w:line="360" w:lineRule="auto"/>
        <w:jc w:val="left"/>
        <w:outlineLvl w:val="1"/>
        <w:rPr>
          <w:rFonts w:cs="Times New Roman"/>
        </w:rPr>
      </w:pPr>
      <w:bookmarkStart w:id="60" w:name="_Toc186791745"/>
      <w:bookmarkStart w:id="61" w:name="_Toc1114"/>
      <w:bookmarkStart w:id="62" w:name="_Toc29300"/>
      <w:r>
        <w:rPr>
          <w:rFonts w:cs="Times New Roman"/>
          <w:b/>
          <w:bCs/>
        </w:rPr>
        <w:t>4.3</w:t>
      </w:r>
      <w:r>
        <w:rPr>
          <w:rFonts w:cs="Times New Roman"/>
        </w:rPr>
        <w:t xml:space="preserve"> </w:t>
      </w:r>
      <w:r>
        <w:rPr>
          <w:rFonts w:cs="Times New Roman"/>
        </w:rPr>
        <w:t>评估长期运维成本，包括能耗、药剂添加、设备检修更换等费用，选择经济可行的方案。操作复杂、需专业人员频繁维护的工艺，若无对应人力支撑，应谨慎选用。</w:t>
      </w:r>
      <w:bookmarkEnd w:id="60"/>
      <w:bookmarkEnd w:id="61"/>
      <w:bookmarkEnd w:id="62"/>
    </w:p>
    <w:p w14:paraId="5C64F64A" w14:textId="77777777" w:rsidR="00AB4227" w:rsidRDefault="0048172D">
      <w:pPr>
        <w:adjustRightInd w:val="0"/>
        <w:snapToGrid w:val="0"/>
        <w:spacing w:line="360" w:lineRule="auto"/>
        <w:jc w:val="left"/>
        <w:outlineLvl w:val="1"/>
        <w:rPr>
          <w:rFonts w:cs="Times New Roman"/>
        </w:rPr>
      </w:pPr>
      <w:bookmarkStart w:id="63" w:name="_Toc186791746"/>
      <w:bookmarkStart w:id="64" w:name="_Toc12597"/>
      <w:bookmarkStart w:id="65" w:name="_Toc18871"/>
      <w:r>
        <w:rPr>
          <w:rFonts w:cs="Times New Roman"/>
          <w:b/>
          <w:bCs/>
        </w:rPr>
        <w:t>4.4</w:t>
      </w:r>
      <w:r>
        <w:rPr>
          <w:rFonts w:cs="Times New Roman"/>
        </w:rPr>
        <w:t xml:space="preserve"> </w:t>
      </w:r>
      <w:r>
        <w:rPr>
          <w:rFonts w:cs="Times New Roman"/>
        </w:rPr>
        <w:t>工艺必须成熟可靠，处理后水质稳定达标，</w:t>
      </w:r>
      <w:r>
        <w:rPr>
          <w:rFonts w:cs="Times New Roman" w:hint="eastAsia"/>
        </w:rPr>
        <w:t>无</w:t>
      </w:r>
      <w:r>
        <w:rPr>
          <w:rFonts w:cs="Times New Roman"/>
        </w:rPr>
        <w:t>潜在风险，例如微生物泄漏、副产物生成等安全隐患。</w:t>
      </w:r>
      <w:bookmarkEnd w:id="63"/>
      <w:bookmarkEnd w:id="64"/>
      <w:bookmarkEnd w:id="65"/>
    </w:p>
    <w:p w14:paraId="2849667A" w14:textId="77777777" w:rsidR="00AB4227" w:rsidRDefault="0048172D">
      <w:pPr>
        <w:adjustRightInd w:val="0"/>
        <w:snapToGrid w:val="0"/>
        <w:spacing w:line="360" w:lineRule="auto"/>
        <w:jc w:val="left"/>
        <w:outlineLvl w:val="1"/>
        <w:rPr>
          <w:rFonts w:eastAsiaTheme="minorEastAsia" w:cs="Times New Roman"/>
        </w:rPr>
      </w:pPr>
      <w:bookmarkStart w:id="66" w:name="_Toc186791747"/>
      <w:bookmarkStart w:id="67" w:name="_Toc13234"/>
      <w:bookmarkStart w:id="68" w:name="_Toc23195"/>
      <w:r>
        <w:rPr>
          <w:rFonts w:cs="Times New Roman"/>
          <w:b/>
          <w:bCs/>
        </w:rPr>
        <w:t>4.5</w:t>
      </w:r>
      <w:r>
        <w:rPr>
          <w:rFonts w:cs="Times New Roman"/>
        </w:rPr>
        <w:t xml:space="preserve"> </w:t>
      </w:r>
      <w:r>
        <w:rPr>
          <w:rFonts w:cs="Times New Roman"/>
        </w:rPr>
        <w:t>优先选用成熟、稳定且运行成本合理的工艺，新工艺</w:t>
      </w:r>
      <w:r>
        <w:rPr>
          <w:rFonts w:cs="Times New Roman" w:hint="eastAsia"/>
        </w:rPr>
        <w:t>的应用</w:t>
      </w:r>
      <w:r>
        <w:rPr>
          <w:rFonts w:cs="Times New Roman"/>
        </w:rPr>
        <w:t>需经小试、中试充分验证其处理</w:t>
      </w:r>
      <w:r>
        <w:rPr>
          <w:rFonts w:cs="Times New Roman" w:hint="eastAsia"/>
        </w:rPr>
        <w:t>效能、稳定性和</w:t>
      </w:r>
      <w:r>
        <w:rPr>
          <w:rFonts w:cs="Times New Roman"/>
        </w:rPr>
        <w:t>安全性后，</w:t>
      </w:r>
      <w:r>
        <w:rPr>
          <w:rFonts w:eastAsiaTheme="minorEastAsia" w:cs="Times New Roman"/>
        </w:rPr>
        <w:t>方可应用于实际工程。</w:t>
      </w:r>
      <w:bookmarkEnd w:id="66"/>
      <w:bookmarkEnd w:id="67"/>
      <w:bookmarkEnd w:id="68"/>
    </w:p>
    <w:p w14:paraId="22ED17E2" w14:textId="77777777" w:rsidR="00AB4227" w:rsidRDefault="0048172D">
      <w:pPr>
        <w:pStyle w:val="aff"/>
        <w:adjustRightInd w:val="0"/>
        <w:snapToGrid w:val="0"/>
        <w:spacing w:line="360" w:lineRule="auto"/>
        <w:ind w:firstLineChars="0" w:firstLine="0"/>
        <w:jc w:val="left"/>
        <w:outlineLvl w:val="0"/>
        <w:rPr>
          <w:rFonts w:eastAsiaTheme="minorEastAsia" w:cs="Times New Roman"/>
          <w:b/>
          <w:bCs/>
          <w:kern w:val="44"/>
          <w:sz w:val="30"/>
          <w:szCs w:val="21"/>
        </w:rPr>
      </w:pPr>
      <w:bookmarkStart w:id="69" w:name="_Toc7771"/>
      <w:r>
        <w:rPr>
          <w:rFonts w:cs="Times New Roman"/>
          <w:b/>
          <w:bCs/>
          <w:szCs w:val="21"/>
        </w:rPr>
        <w:t xml:space="preserve">5 </w:t>
      </w:r>
      <w:r>
        <w:rPr>
          <w:rFonts w:eastAsiaTheme="minorEastAsia" w:cs="Times New Roman"/>
          <w:b/>
          <w:bCs/>
          <w:kern w:val="44"/>
          <w:szCs w:val="21"/>
        </w:rPr>
        <w:t>工艺设计</w:t>
      </w:r>
      <w:bookmarkEnd w:id="69"/>
    </w:p>
    <w:p w14:paraId="7CBA1077" w14:textId="77777777" w:rsidR="00AB4227" w:rsidRDefault="0048172D">
      <w:pPr>
        <w:pStyle w:val="aff2"/>
        <w:adjustRightInd w:val="0"/>
        <w:snapToGrid w:val="0"/>
      </w:pPr>
      <w:bookmarkStart w:id="70" w:name="_Toc18785"/>
      <w:bookmarkStart w:id="71" w:name="_Toc186791749"/>
      <w:bookmarkStart w:id="72" w:name="_Toc6912"/>
      <w:bookmarkStart w:id="73" w:name="_Toc132"/>
      <w:r>
        <w:t xml:space="preserve">5.1 </w:t>
      </w:r>
      <w:r>
        <w:rPr>
          <w:b w:val="0"/>
          <w:bCs w:val="0"/>
        </w:rPr>
        <w:t>预处理</w:t>
      </w:r>
      <w:bookmarkEnd w:id="70"/>
      <w:bookmarkEnd w:id="71"/>
      <w:bookmarkEnd w:id="72"/>
      <w:bookmarkEnd w:id="73"/>
    </w:p>
    <w:p w14:paraId="09169D7E" w14:textId="77777777" w:rsidR="00AB4227" w:rsidRDefault="0048172D">
      <w:pPr>
        <w:tabs>
          <w:tab w:val="left" w:pos="0"/>
          <w:tab w:val="left" w:pos="851"/>
        </w:tabs>
        <w:adjustRightInd w:val="0"/>
        <w:snapToGrid w:val="0"/>
        <w:spacing w:line="360" w:lineRule="auto"/>
        <w:jc w:val="left"/>
        <w:outlineLvl w:val="2"/>
        <w:rPr>
          <w:rFonts w:cs="Times New Roman"/>
        </w:rPr>
      </w:pPr>
      <w:r>
        <w:rPr>
          <w:rFonts w:cs="Times New Roman"/>
          <w:b/>
          <w:bCs/>
        </w:rPr>
        <w:t>5.1.1</w:t>
      </w:r>
      <w:r>
        <w:rPr>
          <w:rFonts w:cs="Times New Roman"/>
        </w:rPr>
        <w:t xml:space="preserve"> </w:t>
      </w:r>
      <w:r>
        <w:rPr>
          <w:rFonts w:cs="Times New Roman"/>
        </w:rPr>
        <w:t>采用机械细格栅，栅条间隙</w:t>
      </w:r>
      <w:r>
        <w:rPr>
          <w:rFonts w:cs="Times New Roman"/>
        </w:rPr>
        <w:t>2-5 mm</w:t>
      </w:r>
      <w:r>
        <w:rPr>
          <w:rFonts w:cs="Times New Roman"/>
        </w:rPr>
        <w:t>，过栅流速</w:t>
      </w:r>
      <w:r>
        <w:rPr>
          <w:rFonts w:cs="Times New Roman"/>
        </w:rPr>
        <w:t>0.4-0</w:t>
      </w:r>
      <w:r>
        <w:rPr>
          <w:rFonts w:cs="Times New Roman"/>
        </w:rPr>
        <w:t>.8 m/s</w:t>
      </w:r>
      <w:r>
        <w:rPr>
          <w:rFonts w:cs="Times New Roman"/>
        </w:rPr>
        <w:t>，拦截水中粗大悬浮物、漂浮物，降低后续设备磨损与堵塞风险。</w:t>
      </w:r>
    </w:p>
    <w:p w14:paraId="43A4B2C8" w14:textId="77777777" w:rsidR="00AB4227" w:rsidRDefault="0048172D">
      <w:pPr>
        <w:tabs>
          <w:tab w:val="left" w:pos="0"/>
          <w:tab w:val="left" w:pos="851"/>
        </w:tabs>
        <w:adjustRightInd w:val="0"/>
        <w:snapToGrid w:val="0"/>
        <w:spacing w:line="360" w:lineRule="auto"/>
        <w:jc w:val="left"/>
        <w:outlineLvl w:val="2"/>
        <w:rPr>
          <w:rFonts w:cs="Times New Roman"/>
        </w:rPr>
      </w:pPr>
      <w:r>
        <w:rPr>
          <w:rStyle w:val="aff1"/>
          <w:rFonts w:cs="Times New Roman"/>
        </w:rPr>
        <w:t>5.1.2</w:t>
      </w:r>
      <w:r>
        <w:rPr>
          <w:rFonts w:cs="Times New Roman"/>
        </w:rPr>
        <w:t xml:space="preserve"> </w:t>
      </w:r>
      <w:r>
        <w:rPr>
          <w:rFonts w:cs="Times New Roman"/>
        </w:rPr>
        <w:t>当原水含有泥沙等大颗粒悬浮物时，应设置沉淀池，停留时间一般为</w:t>
      </w:r>
      <w:r>
        <w:rPr>
          <w:rFonts w:cs="Times New Roman"/>
        </w:rPr>
        <w:t>1-2 h</w:t>
      </w:r>
      <w:r>
        <w:rPr>
          <w:rFonts w:cs="Times New Roman"/>
        </w:rPr>
        <w:t>，表面负荷率控制在</w:t>
      </w:r>
      <w:r>
        <w:rPr>
          <w:rFonts w:cs="Times New Roman"/>
        </w:rPr>
        <w:t>1.5-3.0 m³/(m²·h)</w:t>
      </w:r>
      <w:r>
        <w:rPr>
          <w:rFonts w:cs="Times New Roman"/>
        </w:rPr>
        <w:t>，以去除大部分可沉淀杂质。</w:t>
      </w:r>
    </w:p>
    <w:p w14:paraId="206B6B7D" w14:textId="77777777" w:rsidR="00AB4227" w:rsidRDefault="0048172D">
      <w:pPr>
        <w:pStyle w:val="aff0"/>
        <w:adjustRightInd w:val="0"/>
        <w:snapToGrid w:val="0"/>
      </w:pPr>
      <w:r>
        <w:t xml:space="preserve">5.1.3 </w:t>
      </w:r>
      <w:r>
        <w:rPr>
          <w:b w:val="0"/>
          <w:bCs w:val="0"/>
        </w:rPr>
        <w:t>可采用砂滤、活性炭过滤等方式进一步去除细小悬浮物与部分有机物，一般砂滤滤速为</w:t>
      </w:r>
      <w:r>
        <w:rPr>
          <w:b w:val="0"/>
          <w:bCs w:val="0"/>
        </w:rPr>
        <w:t>8-12</w:t>
      </w:r>
      <w:r>
        <w:rPr>
          <w:rFonts w:hint="eastAsia"/>
          <w:b w:val="0"/>
          <w:bCs w:val="0"/>
        </w:rPr>
        <w:t xml:space="preserve"> </w:t>
      </w:r>
      <w:r>
        <w:rPr>
          <w:b w:val="0"/>
          <w:bCs w:val="0"/>
        </w:rPr>
        <w:t>m/h</w:t>
      </w:r>
      <w:r>
        <w:rPr>
          <w:b w:val="0"/>
          <w:bCs w:val="0"/>
        </w:rPr>
        <w:t>，活性炭滤速</w:t>
      </w:r>
      <w:r>
        <w:rPr>
          <w:b w:val="0"/>
          <w:bCs w:val="0"/>
        </w:rPr>
        <w:t>6-10 m/h</w:t>
      </w:r>
      <w:r>
        <w:rPr>
          <w:b w:val="0"/>
          <w:bCs w:val="0"/>
        </w:rPr>
        <w:t>，滤料粒径</w:t>
      </w:r>
      <w:r>
        <w:rPr>
          <w:b w:val="0"/>
          <w:bCs w:val="0"/>
        </w:rPr>
        <w:t>0.5-1.2 mm</w:t>
      </w:r>
      <w:r>
        <w:rPr>
          <w:b w:val="0"/>
          <w:bCs w:val="0"/>
        </w:rPr>
        <w:t>，进一步截留未沉淀的微小颗粒，使出进水浊度小于</w:t>
      </w:r>
      <w:r>
        <w:rPr>
          <w:b w:val="0"/>
          <w:bCs w:val="0"/>
        </w:rPr>
        <w:t>1</w:t>
      </w:r>
      <w:r>
        <w:rPr>
          <w:rFonts w:hint="eastAsia"/>
          <w:b w:val="0"/>
          <w:bCs w:val="0"/>
        </w:rPr>
        <w:t xml:space="preserve"> </w:t>
      </w:r>
      <w:r>
        <w:rPr>
          <w:b w:val="0"/>
          <w:bCs w:val="0"/>
        </w:rPr>
        <w:t>NTU</w:t>
      </w:r>
      <w:r>
        <w:rPr>
          <w:b w:val="0"/>
          <w:bCs w:val="0"/>
        </w:rPr>
        <w:t>，保障后续生物处理单元进水水质良好。</w:t>
      </w:r>
    </w:p>
    <w:p w14:paraId="5407632A" w14:textId="77777777" w:rsidR="00AB4227" w:rsidRDefault="0048172D">
      <w:pPr>
        <w:pStyle w:val="aff2"/>
        <w:adjustRightInd w:val="0"/>
        <w:snapToGrid w:val="0"/>
      </w:pPr>
      <w:bookmarkStart w:id="74" w:name="_Toc18589"/>
      <w:bookmarkStart w:id="75" w:name="_Toc18227"/>
      <w:bookmarkStart w:id="76" w:name="_Toc186791750"/>
      <w:bookmarkStart w:id="77" w:name="_Toc31137"/>
      <w:bookmarkStart w:id="78" w:name="_Toc19132"/>
      <w:bookmarkStart w:id="79" w:name="_Toc24505"/>
      <w:r>
        <w:t xml:space="preserve">5.2 </w:t>
      </w:r>
      <w:r>
        <w:rPr>
          <w:b w:val="0"/>
          <w:bCs w:val="0"/>
        </w:rPr>
        <w:t>生物反硝化单元</w:t>
      </w:r>
      <w:bookmarkEnd w:id="74"/>
      <w:bookmarkEnd w:id="75"/>
      <w:bookmarkEnd w:id="76"/>
      <w:bookmarkEnd w:id="77"/>
      <w:bookmarkEnd w:id="78"/>
      <w:bookmarkEnd w:id="79"/>
    </w:p>
    <w:p w14:paraId="3A742A69" w14:textId="77777777" w:rsidR="00AB4227" w:rsidRDefault="0048172D">
      <w:pPr>
        <w:pStyle w:val="aff0"/>
        <w:adjustRightInd w:val="0"/>
        <w:snapToGrid w:val="0"/>
      </w:pPr>
      <w:r>
        <w:t xml:space="preserve">5.2.1 </w:t>
      </w:r>
      <w:r>
        <w:rPr>
          <w:rFonts w:hint="eastAsia"/>
          <w:b w:val="0"/>
          <w:bCs w:val="0"/>
        </w:rPr>
        <w:t>反硝化</w:t>
      </w:r>
      <w:r>
        <w:rPr>
          <w:b w:val="0"/>
          <w:bCs w:val="0"/>
        </w:rPr>
        <w:t>生物接触</w:t>
      </w:r>
      <w:r>
        <w:rPr>
          <w:rFonts w:hint="eastAsia"/>
          <w:b w:val="0"/>
          <w:bCs w:val="0"/>
        </w:rPr>
        <w:t>池</w:t>
      </w:r>
    </w:p>
    <w:p w14:paraId="158BC40E" w14:textId="77777777" w:rsidR="00AB4227" w:rsidRDefault="0048172D">
      <w:pPr>
        <w:widowControl/>
        <w:numPr>
          <w:ilvl w:val="0"/>
          <w:numId w:val="2"/>
        </w:numPr>
        <w:tabs>
          <w:tab w:val="left" w:pos="851"/>
        </w:tabs>
        <w:adjustRightInd w:val="0"/>
        <w:snapToGrid w:val="0"/>
        <w:spacing w:line="360" w:lineRule="auto"/>
        <w:ind w:firstLineChars="200" w:firstLine="420"/>
        <w:rPr>
          <w:rFonts w:cs="Times New Roman"/>
        </w:rPr>
      </w:pPr>
      <w:r>
        <w:rPr>
          <w:rFonts w:cs="Times New Roman"/>
        </w:rPr>
        <w:lastRenderedPageBreak/>
        <w:t>弹性填料</w:t>
      </w:r>
      <w:r>
        <w:rPr>
          <w:rFonts w:cs="Times New Roman" w:hint="eastAsia"/>
        </w:rPr>
        <w:t>反硝化生物接触池，</w:t>
      </w:r>
      <w:r>
        <w:rPr>
          <w:rFonts w:cs="Times New Roman"/>
        </w:rPr>
        <w:t>挂膜宜在水温高于</w:t>
      </w:r>
      <w:r>
        <w:rPr>
          <w:rFonts w:cs="Times New Roman"/>
        </w:rPr>
        <w:t>10℃</w:t>
      </w:r>
      <w:r>
        <w:rPr>
          <w:rFonts w:cs="Times New Roman"/>
        </w:rPr>
        <w:t>时进行，当生物膜增厚时，应及时冲洗。</w:t>
      </w:r>
    </w:p>
    <w:p w14:paraId="2DED129F" w14:textId="77777777" w:rsidR="00AB4227" w:rsidRDefault="0048172D">
      <w:pPr>
        <w:widowControl/>
        <w:tabs>
          <w:tab w:val="left" w:pos="851"/>
        </w:tabs>
        <w:adjustRightInd w:val="0"/>
        <w:snapToGrid w:val="0"/>
        <w:spacing w:line="360" w:lineRule="auto"/>
        <w:ind w:firstLineChars="200" w:firstLine="420"/>
        <w:rPr>
          <w:rFonts w:cs="Times New Roman"/>
        </w:rPr>
      </w:pPr>
      <w:r>
        <w:rPr>
          <w:rFonts w:cs="Times New Roman"/>
        </w:rPr>
        <w:t>填料用量计算公式为：</w:t>
      </w:r>
      <m:oMath>
        <m:r>
          <w:rPr>
            <w:rFonts w:ascii="Cambria Math" w:hAnsi="Cambria Math" w:cs="Times New Roman"/>
          </w:rPr>
          <m:t>V</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Q</m:t>
            </m:r>
          </m:num>
          <m:den>
            <m:r>
              <w:rPr>
                <w:rFonts w:ascii="Cambria Math" w:hAnsi="Cambria Math" w:cs="Times New Roman"/>
              </w:rPr>
              <m:t>q</m:t>
            </m:r>
            <m:r>
              <m:rPr>
                <m:sty m:val="p"/>
              </m:rPr>
              <w:rPr>
                <w:rFonts w:ascii="Cambria Math" w:hAnsi="Cambria Math" w:cs="Times New Roman"/>
              </w:rPr>
              <m:t>×</m:t>
            </m:r>
            <m:r>
              <w:rPr>
                <w:rFonts w:ascii="Cambria Math" w:hAnsi="Cambria Math" w:cs="Times New Roman"/>
              </w:rPr>
              <m:t>a</m:t>
            </m:r>
          </m:den>
        </m:f>
      </m:oMath>
      <w:r>
        <w:rPr>
          <w:rFonts w:cs="Times New Roman"/>
        </w:rPr>
        <w:t>，其中</w:t>
      </w:r>
      <w:r>
        <w:rPr>
          <w:rFonts w:cs="Times New Roman"/>
          <w:i/>
          <w:iCs/>
        </w:rPr>
        <w:t>V</w:t>
      </w:r>
      <w:r>
        <w:rPr>
          <w:rFonts w:cs="Times New Roman"/>
        </w:rPr>
        <w:t>为所需填料体积</w:t>
      </w:r>
      <w:r>
        <w:rPr>
          <w:rFonts w:cs="Times New Roman"/>
        </w:rPr>
        <w:t>(m³)</w:t>
      </w:r>
      <w:r>
        <w:rPr>
          <w:rFonts w:cs="Times New Roman"/>
        </w:rPr>
        <w:t>，</w:t>
      </w:r>
      <w:r>
        <w:rPr>
          <w:rFonts w:cs="Times New Roman"/>
          <w:i/>
          <w:iCs/>
        </w:rPr>
        <w:t>Q</w:t>
      </w:r>
      <w:r>
        <w:rPr>
          <w:rFonts w:cs="Times New Roman"/>
        </w:rPr>
        <w:t>为处理水量</w:t>
      </w:r>
      <w:r>
        <w:rPr>
          <w:rFonts w:cs="Times New Roman"/>
        </w:rPr>
        <w:t>(m³/h)</w:t>
      </w:r>
      <w:r>
        <w:rPr>
          <w:rFonts w:cs="Times New Roman"/>
        </w:rPr>
        <w:t>，</w:t>
      </w:r>
      <w:r>
        <w:rPr>
          <w:rFonts w:cs="Times New Roman"/>
          <w:i/>
          <w:iCs/>
        </w:rPr>
        <w:t>q</w:t>
      </w:r>
      <w:r>
        <w:rPr>
          <w:rFonts w:cs="Times New Roman"/>
        </w:rPr>
        <w:t>为</w:t>
      </w:r>
      <w:r>
        <w:rPr>
          <w:rFonts w:cs="Times New Roman" w:hint="eastAsia"/>
        </w:rPr>
        <w:t>调料容积负荷</w:t>
      </w:r>
      <w:r>
        <w:rPr>
          <w:rFonts w:cs="Times New Roman"/>
        </w:rPr>
        <w:t>，设计时取</w:t>
      </w:r>
      <w:r>
        <w:rPr>
          <w:rFonts w:cs="Times New Roman"/>
          <w:i/>
          <w:iCs/>
        </w:rPr>
        <w:t>q</w:t>
      </w:r>
      <w:r>
        <w:rPr>
          <w:rFonts w:cs="Times New Roman"/>
          <w:iCs/>
        </w:rPr>
        <w:t>=</w:t>
      </w:r>
      <w:r>
        <w:rPr>
          <w:rFonts w:cs="Times New Roman"/>
        </w:rPr>
        <w:t>2.5</w:t>
      </w:r>
      <w:r>
        <w:rPr>
          <w:rFonts w:cs="Times New Roman" w:hint="eastAsia"/>
        </w:rPr>
        <w:t xml:space="preserve"> </w:t>
      </w:r>
      <w:r>
        <w:rPr>
          <w:rFonts w:cs="Times New Roman"/>
        </w:rPr>
        <w:t>m³/(m²</w:t>
      </w:r>
      <w:bookmarkStart w:id="80" w:name="OLE_LINK5"/>
      <w:r>
        <w:rPr>
          <w:rFonts w:cs="Times New Roman"/>
        </w:rPr>
        <w:t>·</w:t>
      </w:r>
      <w:bookmarkEnd w:id="80"/>
      <w:r>
        <w:rPr>
          <w:rFonts w:cs="Times New Roman"/>
        </w:rPr>
        <w:t>h)</w:t>
      </w:r>
      <w:r>
        <w:rPr>
          <w:rFonts w:cs="Times New Roman"/>
        </w:rPr>
        <w:t>，运行中可在</w:t>
      </w:r>
      <w:r>
        <w:rPr>
          <w:rFonts w:cs="Times New Roman"/>
        </w:rPr>
        <w:t>2.5-4.0</w:t>
      </w:r>
      <w:r>
        <w:rPr>
          <w:rFonts w:cs="Times New Roman" w:hint="eastAsia"/>
        </w:rPr>
        <w:t xml:space="preserve"> </w:t>
      </w:r>
      <w:r>
        <w:rPr>
          <w:rFonts w:cs="Times New Roman"/>
        </w:rPr>
        <w:t>m³/(m²·h)</w:t>
      </w:r>
      <w:r>
        <w:rPr>
          <w:rFonts w:cs="Times New Roman"/>
        </w:rPr>
        <w:t>间调控，</w:t>
      </w:r>
      <w:r>
        <w:rPr>
          <w:rFonts w:cs="Times New Roman"/>
          <w:i/>
          <w:iCs/>
        </w:rPr>
        <w:t>a</w:t>
      </w:r>
      <w:r>
        <w:rPr>
          <w:rFonts w:cs="Times New Roman"/>
        </w:rPr>
        <w:t>为弹性填料的比表面积</w:t>
      </w:r>
      <w:r>
        <w:rPr>
          <w:rFonts w:cs="Times New Roman"/>
        </w:rPr>
        <w:t>(m²/m³)</w:t>
      </w:r>
      <w:r>
        <w:rPr>
          <w:rFonts w:cs="Times New Roman"/>
        </w:rPr>
        <w:t>。</w:t>
      </w:r>
    </w:p>
    <w:p w14:paraId="7AF026D0" w14:textId="77777777" w:rsidR="00AB4227" w:rsidRDefault="0048172D">
      <w:pPr>
        <w:widowControl/>
        <w:tabs>
          <w:tab w:val="left" w:pos="851"/>
        </w:tabs>
        <w:adjustRightInd w:val="0"/>
        <w:snapToGrid w:val="0"/>
        <w:spacing w:line="360" w:lineRule="auto"/>
        <w:ind w:firstLineChars="200" w:firstLine="420"/>
        <w:rPr>
          <w:rFonts w:cs="Times New Roman"/>
        </w:rPr>
      </w:pPr>
      <w:r>
        <w:rPr>
          <w:rFonts w:cs="Times New Roman"/>
        </w:rPr>
        <w:t>池容计算公式为：</w:t>
      </w:r>
      <m:oMath>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0</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Q</m:t>
            </m:r>
          </m:num>
          <m:den>
            <m:r>
              <w:rPr>
                <w:rFonts w:ascii="Cambria Math" w:hAnsi="Cambria Math" w:cs="Times New Roman"/>
              </w:rPr>
              <m:t>t</m:t>
            </m:r>
          </m:den>
        </m:f>
      </m:oMath>
      <w:r>
        <w:rPr>
          <w:rFonts w:cs="Times New Roman"/>
        </w:rPr>
        <w:t>，</w:t>
      </w:r>
      <w:r>
        <w:rPr>
          <w:rFonts w:cs="Times New Roman"/>
          <w:i/>
          <w:iCs/>
        </w:rPr>
        <w:t>t</w:t>
      </w:r>
      <w:r>
        <w:rPr>
          <w:rFonts w:cs="Times New Roman"/>
        </w:rPr>
        <w:t>为有效水力停留时间，设计取</w:t>
      </w:r>
      <w:r>
        <w:rPr>
          <w:rFonts w:cs="Times New Roman"/>
          <w:i/>
          <w:iCs/>
        </w:rPr>
        <w:t>t</w:t>
      </w:r>
      <w:r>
        <w:rPr>
          <w:rFonts w:cs="Times New Roman"/>
          <w:iCs/>
        </w:rPr>
        <w:t>=</w:t>
      </w:r>
      <w:r>
        <w:rPr>
          <w:rFonts w:cs="Times New Roman"/>
        </w:rPr>
        <w:t>1.5</w:t>
      </w:r>
      <w:r>
        <w:rPr>
          <w:rFonts w:cs="Times New Roman" w:hint="eastAsia"/>
        </w:rPr>
        <w:t xml:space="preserve"> </w:t>
      </w:r>
      <w:r>
        <w:rPr>
          <w:rFonts w:cs="Times New Roman"/>
        </w:rPr>
        <w:t>h</w:t>
      </w:r>
      <w:r>
        <w:rPr>
          <w:rFonts w:cs="Times New Roman"/>
        </w:rPr>
        <w:t>，运行中可在</w:t>
      </w:r>
      <w:r>
        <w:rPr>
          <w:rFonts w:cs="Times New Roman"/>
        </w:rPr>
        <w:t>1.0-1.5</w:t>
      </w:r>
      <w:r>
        <w:rPr>
          <w:rFonts w:cs="Times New Roman" w:hint="eastAsia"/>
        </w:rPr>
        <w:t xml:space="preserve"> </w:t>
      </w:r>
      <w:r>
        <w:rPr>
          <w:rFonts w:cs="Times New Roman"/>
        </w:rPr>
        <w:t>h</w:t>
      </w:r>
      <w:r>
        <w:rPr>
          <w:rFonts w:cs="Times New Roman"/>
        </w:rPr>
        <w:t>间调控。池体底面积</w:t>
      </w:r>
      <m:oMath>
        <m:r>
          <w:rPr>
            <w:rFonts w:ascii="Cambria Math" w:hAnsi="Cambria Math" w:cs="Times New Roman"/>
          </w:rPr>
          <m:t>A</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0</m:t>
                </m:r>
              </m:sub>
            </m:sSub>
          </m:num>
          <m:den>
            <m:sSub>
              <m:sSubPr>
                <m:ctrlPr>
                  <w:rPr>
                    <w:rFonts w:ascii="Cambria Math" w:hAnsi="Cambria Math" w:cs="Times New Roman"/>
                  </w:rPr>
                </m:ctrlPr>
              </m:sSubPr>
              <m:e>
                <m:r>
                  <w:rPr>
                    <w:rFonts w:ascii="Cambria Math" w:eastAsia="MS Gothic" w:hAnsi="Cambria Math" w:cs="Times New Roman"/>
                  </w:rPr>
                  <m:t>h</m:t>
                </m:r>
              </m:e>
              <m:sub>
                <m:r>
                  <m:rPr>
                    <m:sty m:val="p"/>
                  </m:rPr>
                  <w:rPr>
                    <w:rFonts w:ascii="Cambria Math" w:eastAsia="MS Gothic" w:hAnsi="Cambria Math" w:cs="Times New Roman"/>
                  </w:rPr>
                  <m:t>1</m:t>
                </m:r>
              </m:sub>
            </m:sSub>
            <m:r>
              <m:rPr>
                <m:sty m:val="p"/>
              </m:rPr>
              <w:rPr>
                <w:rFonts w:ascii="Cambria Math" w:eastAsia="MS Gothic" w:hAnsi="Cambria Math" w:cs="Times New Roman"/>
              </w:rPr>
              <m:t>+</m:t>
            </m:r>
            <m:sSub>
              <m:sSubPr>
                <m:ctrlPr>
                  <w:rPr>
                    <w:rFonts w:ascii="Cambria Math" w:hAnsi="Cambria Math" w:cs="Times New Roman"/>
                  </w:rPr>
                </m:ctrlPr>
              </m:sSubPr>
              <m:e>
                <m:r>
                  <w:rPr>
                    <w:rFonts w:ascii="Cambria Math" w:eastAsiaTheme="minorEastAsia" w:hAnsi="Cambria Math" w:cs="Times New Roman"/>
                  </w:rPr>
                  <m:t>h</m:t>
                </m:r>
              </m:e>
              <m:sub>
                <m:r>
                  <m:rPr>
                    <m:sty m:val="p"/>
                  </m:rPr>
                  <w:rPr>
                    <w:rFonts w:ascii="Cambria Math" w:eastAsiaTheme="minorEastAsia" w:hAnsi="Cambria Math" w:cs="Times New Roman"/>
                  </w:rPr>
                  <m:t>2</m:t>
                </m:r>
              </m:sub>
            </m:sSub>
          </m:den>
        </m:f>
      </m:oMath>
      <w:r>
        <w:rPr>
          <w:rFonts w:cs="Times New Roman"/>
        </w:rPr>
        <w:t>，</w:t>
      </w:r>
      <w:r>
        <w:rPr>
          <w:rFonts w:cs="Times New Roman"/>
          <w:i/>
          <w:iCs/>
        </w:rPr>
        <w:t>h</w:t>
      </w:r>
      <w:r>
        <w:rPr>
          <w:rFonts w:cs="Times New Roman"/>
          <w:i/>
          <w:iCs/>
          <w:vertAlign w:val="subscript"/>
        </w:rPr>
        <w:t>1</w:t>
      </w:r>
      <w:r>
        <w:rPr>
          <w:rFonts w:cs="Times New Roman"/>
        </w:rPr>
        <w:t>为有效水深，可取</w:t>
      </w:r>
      <w:r>
        <w:rPr>
          <w:rFonts w:cs="Times New Roman"/>
        </w:rPr>
        <w:t>4-5</w:t>
      </w:r>
      <w:r>
        <w:rPr>
          <w:rFonts w:cs="Times New Roman" w:hint="eastAsia"/>
        </w:rPr>
        <w:t xml:space="preserve"> </w:t>
      </w:r>
      <w:r>
        <w:rPr>
          <w:rFonts w:cs="Times New Roman"/>
        </w:rPr>
        <w:t>m</w:t>
      </w:r>
      <w:r>
        <w:rPr>
          <w:rFonts w:cs="Times New Roman"/>
        </w:rPr>
        <w:t>，</w:t>
      </w:r>
      <w:r>
        <w:rPr>
          <w:rFonts w:cs="Times New Roman"/>
          <w:i/>
          <w:iCs/>
        </w:rPr>
        <w:t>h₂</w:t>
      </w:r>
      <w:r>
        <w:rPr>
          <w:rFonts w:cs="Times New Roman"/>
        </w:rPr>
        <w:t>为池体超高，可取</w:t>
      </w:r>
      <w:r>
        <w:rPr>
          <w:rFonts w:cs="Times New Roman"/>
        </w:rPr>
        <w:t>0.3-0.5</w:t>
      </w:r>
      <w:r>
        <w:rPr>
          <w:rFonts w:cs="Times New Roman" w:hint="eastAsia"/>
        </w:rPr>
        <w:t xml:space="preserve"> </w:t>
      </w:r>
      <w:r>
        <w:rPr>
          <w:rFonts w:cs="Times New Roman"/>
        </w:rPr>
        <w:t>m</w:t>
      </w:r>
      <w:r>
        <w:rPr>
          <w:rFonts w:cs="Times New Roman"/>
        </w:rPr>
        <w:t>。</w:t>
      </w:r>
    </w:p>
    <w:p w14:paraId="6A0DFD95" w14:textId="77777777" w:rsidR="00AB4227" w:rsidRDefault="0048172D">
      <w:pPr>
        <w:widowControl/>
        <w:tabs>
          <w:tab w:val="left" w:pos="851"/>
        </w:tabs>
        <w:adjustRightInd w:val="0"/>
        <w:snapToGrid w:val="0"/>
        <w:spacing w:line="360" w:lineRule="auto"/>
        <w:ind w:firstLineChars="200" w:firstLine="420"/>
        <w:rPr>
          <w:rFonts w:cs="Times New Roman"/>
        </w:rPr>
      </w:pPr>
      <w:r>
        <w:rPr>
          <w:rFonts w:cs="Times New Roman"/>
          <w:szCs w:val="21"/>
        </w:rPr>
        <w:t>2</w:t>
      </w:r>
      <w:r>
        <w:rPr>
          <w:rFonts w:cs="Times New Roman"/>
          <w:szCs w:val="21"/>
        </w:rPr>
        <w:t>）</w:t>
      </w:r>
      <w:r>
        <w:rPr>
          <w:rFonts w:cs="Times New Roman"/>
        </w:rPr>
        <w:t>颗粒填料</w:t>
      </w:r>
      <w:r>
        <w:rPr>
          <w:rFonts w:cs="Times New Roman" w:hint="eastAsia"/>
        </w:rPr>
        <w:t>反硝化生物接触池，</w:t>
      </w:r>
      <w:r>
        <w:rPr>
          <w:rFonts w:cs="Times New Roman" w:hint="eastAsia"/>
        </w:rPr>
        <w:t>严格控制</w:t>
      </w:r>
      <w:r>
        <w:rPr>
          <w:rFonts w:cs="Times New Roman"/>
        </w:rPr>
        <w:t>溶解氧在</w:t>
      </w:r>
      <w:r>
        <w:rPr>
          <w:rFonts w:cs="Times New Roman" w:hint="eastAsia"/>
        </w:rPr>
        <w:t>0.5</w:t>
      </w:r>
      <w:r>
        <w:rPr>
          <w:rFonts w:cs="Times New Roman"/>
        </w:rPr>
        <w:t>mg/L</w:t>
      </w:r>
      <w:r>
        <w:rPr>
          <w:rFonts w:cs="Times New Roman" w:hint="eastAsia"/>
        </w:rPr>
        <w:t>以下，宜采用机械搅拌等方式维持污泥悬浮于传质</w:t>
      </w:r>
      <w:r>
        <w:rPr>
          <w:rFonts w:cs="Times New Roman"/>
        </w:rPr>
        <w:t>；反冲洗分为两步，先气冲，再水冲</w:t>
      </w:r>
      <w:r>
        <w:rPr>
          <w:rFonts w:cs="Times New Roman" w:hint="eastAsia"/>
        </w:rPr>
        <w:t>，</w:t>
      </w:r>
      <w:r>
        <w:rPr>
          <w:rFonts w:cs="Times New Roman" w:hint="eastAsia"/>
        </w:rPr>
        <w:t>具体时间需根据规范或试验确定</w:t>
      </w:r>
      <w:r>
        <w:rPr>
          <w:rFonts w:cs="Times New Roman"/>
        </w:rPr>
        <w:t>。</w:t>
      </w:r>
    </w:p>
    <w:p w14:paraId="35C63F6E" w14:textId="77777777" w:rsidR="00AB4227" w:rsidRDefault="0048172D">
      <w:pPr>
        <w:pStyle w:val="a1"/>
        <w:adjustRightInd w:val="0"/>
        <w:snapToGrid w:val="0"/>
        <w:spacing w:line="360" w:lineRule="auto"/>
        <w:ind w:firstLineChars="200" w:firstLine="420"/>
        <w:rPr>
          <w:rFonts w:eastAsia="宋体" w:cs="Times New Roman"/>
          <w:sz w:val="21"/>
        </w:rPr>
      </w:pPr>
      <w:r>
        <w:rPr>
          <w:rFonts w:eastAsia="宋体" w:cs="Times New Roman"/>
          <w:sz w:val="21"/>
        </w:rPr>
        <w:t>池体底面积计算公式为：</w:t>
      </w:r>
      <m:oMath>
        <m:r>
          <w:rPr>
            <w:rFonts w:ascii="Cambria Math" w:eastAsia="宋体" w:hAnsi="Cambria Math" w:cs="Times New Roman"/>
            <w:sz w:val="21"/>
          </w:rPr>
          <m:t>A</m:t>
        </m:r>
        <m:r>
          <m:rPr>
            <m:sty m:val="p"/>
          </m:rPr>
          <w:rPr>
            <w:rFonts w:ascii="Cambria Math" w:eastAsia="宋体" w:hAnsi="Cambria Math" w:cs="Times New Roman"/>
            <w:sz w:val="21"/>
          </w:rPr>
          <m:t>=</m:t>
        </m:r>
        <m:f>
          <m:fPr>
            <m:ctrlPr>
              <w:rPr>
                <w:rFonts w:ascii="Cambria Math" w:eastAsia="宋体" w:hAnsi="Cambria Math" w:cs="Times New Roman"/>
                <w:sz w:val="21"/>
              </w:rPr>
            </m:ctrlPr>
          </m:fPr>
          <m:num>
            <m:r>
              <w:rPr>
                <w:rFonts w:ascii="Cambria Math" w:eastAsia="宋体" w:hAnsi="Cambria Math" w:cs="Times New Roman"/>
                <w:sz w:val="21"/>
              </w:rPr>
              <m:t>Q</m:t>
            </m:r>
          </m:num>
          <m:den>
            <m:r>
              <w:rPr>
                <w:rFonts w:ascii="Cambria Math" w:eastAsia="宋体" w:hAnsi="Cambria Math" w:cs="Times New Roman"/>
                <w:sz w:val="21"/>
              </w:rPr>
              <m:t>v</m:t>
            </m:r>
          </m:den>
        </m:f>
      </m:oMath>
      <w:r>
        <w:rPr>
          <w:rFonts w:eastAsia="宋体" w:cs="Times New Roman"/>
          <w:sz w:val="21"/>
        </w:rPr>
        <w:t>，</w:t>
      </w:r>
      <w:r>
        <w:rPr>
          <w:rFonts w:eastAsia="宋体" w:cs="Times New Roman"/>
          <w:i/>
          <w:iCs/>
          <w:sz w:val="21"/>
        </w:rPr>
        <w:t>v</w:t>
      </w:r>
      <w:r>
        <w:rPr>
          <w:rFonts w:eastAsia="宋体" w:cs="Times New Roman"/>
          <w:sz w:val="21"/>
        </w:rPr>
        <w:t>为滤速，设计时取</w:t>
      </w:r>
      <w:r>
        <w:rPr>
          <w:rFonts w:eastAsia="宋体" w:cs="Times New Roman"/>
          <w:i/>
          <w:iCs/>
          <w:sz w:val="21"/>
        </w:rPr>
        <w:t>v</w:t>
      </w:r>
      <w:r>
        <w:rPr>
          <w:rFonts w:eastAsia="宋体" w:cs="Times New Roman"/>
          <w:sz w:val="21"/>
        </w:rPr>
        <w:t>=4</w:t>
      </w:r>
      <w:r>
        <w:rPr>
          <w:rFonts w:eastAsia="宋体" w:cs="Times New Roman" w:hint="eastAsia"/>
          <w:sz w:val="21"/>
        </w:rPr>
        <w:t xml:space="preserve"> </w:t>
      </w:r>
      <w:r>
        <w:rPr>
          <w:rFonts w:eastAsia="宋体" w:cs="Times New Roman"/>
          <w:sz w:val="21"/>
        </w:rPr>
        <w:t>m/h</w:t>
      </w:r>
      <w:r>
        <w:rPr>
          <w:rFonts w:eastAsia="宋体" w:cs="Times New Roman"/>
          <w:sz w:val="21"/>
        </w:rPr>
        <w:t>，运行中可在</w:t>
      </w:r>
      <w:r>
        <w:rPr>
          <w:rFonts w:eastAsia="宋体" w:cs="Times New Roman"/>
          <w:sz w:val="21"/>
        </w:rPr>
        <w:t>4-6</w:t>
      </w:r>
      <w:r>
        <w:rPr>
          <w:rFonts w:eastAsia="宋体" w:cs="Times New Roman" w:hint="eastAsia"/>
          <w:sz w:val="21"/>
        </w:rPr>
        <w:t xml:space="preserve"> </w:t>
      </w:r>
      <w:r>
        <w:rPr>
          <w:rFonts w:eastAsia="宋体" w:cs="Times New Roman"/>
          <w:sz w:val="21"/>
        </w:rPr>
        <w:t>m/h</w:t>
      </w:r>
      <w:r>
        <w:rPr>
          <w:rFonts w:eastAsia="宋体" w:cs="Times New Roman"/>
          <w:sz w:val="21"/>
        </w:rPr>
        <w:t>间调控。池体高度</w:t>
      </w:r>
      <w:r>
        <w:rPr>
          <w:rFonts w:eastAsia="宋体" w:cs="Times New Roman"/>
          <w:i/>
          <w:iCs/>
          <w:sz w:val="21"/>
        </w:rPr>
        <w:t>h</w:t>
      </w:r>
      <w:r>
        <w:rPr>
          <w:rFonts w:eastAsia="宋体" w:cs="Times New Roman"/>
          <w:sz w:val="21"/>
        </w:rPr>
        <w:t>应控制在</w:t>
      </w:r>
      <w:r>
        <w:rPr>
          <w:rFonts w:eastAsia="宋体" w:cs="Times New Roman"/>
          <w:sz w:val="21"/>
        </w:rPr>
        <w:t>4.5-5.0</w:t>
      </w:r>
      <w:r>
        <w:rPr>
          <w:rFonts w:eastAsia="宋体" w:cs="Times New Roman" w:hint="eastAsia"/>
          <w:sz w:val="21"/>
        </w:rPr>
        <w:t xml:space="preserve"> </w:t>
      </w:r>
      <w:r>
        <w:rPr>
          <w:rFonts w:eastAsia="宋体" w:cs="Times New Roman"/>
          <w:sz w:val="21"/>
        </w:rPr>
        <w:t>m</w:t>
      </w:r>
      <w:r>
        <w:rPr>
          <w:rFonts w:eastAsia="宋体" w:cs="Times New Roman"/>
          <w:sz w:val="21"/>
        </w:rPr>
        <w:t>之间，其中颗粒填料层高度</w:t>
      </w:r>
      <w:r>
        <w:rPr>
          <w:rFonts w:eastAsia="宋体" w:cs="Times New Roman"/>
          <w:i/>
          <w:iCs/>
          <w:sz w:val="21"/>
        </w:rPr>
        <w:t>h</w:t>
      </w:r>
      <w:r>
        <w:rPr>
          <w:rFonts w:eastAsia="宋体" w:cs="Times New Roman"/>
          <w:i/>
          <w:iCs/>
          <w:sz w:val="21"/>
          <w:vertAlign w:val="subscript"/>
        </w:rPr>
        <w:t>1</w:t>
      </w:r>
      <w:r>
        <w:rPr>
          <w:rFonts w:eastAsia="宋体" w:cs="Times New Roman"/>
          <w:sz w:val="21"/>
        </w:rPr>
        <w:t>可取</w:t>
      </w:r>
      <w:r>
        <w:rPr>
          <w:rFonts w:eastAsia="宋体" w:cs="Times New Roman"/>
          <w:sz w:val="21"/>
        </w:rPr>
        <w:t>1.5-2.0</w:t>
      </w:r>
      <w:r>
        <w:rPr>
          <w:rFonts w:eastAsia="宋体" w:cs="Times New Roman" w:hint="eastAsia"/>
          <w:sz w:val="21"/>
        </w:rPr>
        <w:t xml:space="preserve"> </w:t>
      </w:r>
      <w:r>
        <w:rPr>
          <w:rFonts w:eastAsia="宋体" w:cs="Times New Roman"/>
          <w:sz w:val="21"/>
        </w:rPr>
        <w:t>m</w:t>
      </w:r>
      <w:r>
        <w:rPr>
          <w:rFonts w:eastAsia="宋体" w:cs="Times New Roman"/>
          <w:sz w:val="21"/>
        </w:rPr>
        <w:t>，承托层高度</w:t>
      </w:r>
      <w:r>
        <w:rPr>
          <w:rFonts w:eastAsia="宋体" w:cs="Times New Roman"/>
          <w:i/>
          <w:iCs/>
          <w:sz w:val="21"/>
        </w:rPr>
        <w:t>h₂</w:t>
      </w:r>
      <w:r>
        <w:rPr>
          <w:rFonts w:eastAsia="宋体" w:cs="Times New Roman"/>
          <w:sz w:val="21"/>
        </w:rPr>
        <w:t>可取</w:t>
      </w:r>
      <w:r>
        <w:rPr>
          <w:rFonts w:eastAsia="宋体" w:cs="Times New Roman"/>
          <w:sz w:val="21"/>
        </w:rPr>
        <w:t>0.4-0.6</w:t>
      </w:r>
      <w:r>
        <w:rPr>
          <w:rFonts w:eastAsia="宋体" w:cs="Times New Roman" w:hint="eastAsia"/>
          <w:sz w:val="21"/>
        </w:rPr>
        <w:t xml:space="preserve"> </w:t>
      </w:r>
      <w:r>
        <w:rPr>
          <w:rFonts w:eastAsia="宋体" w:cs="Times New Roman"/>
          <w:sz w:val="21"/>
        </w:rPr>
        <w:t>m</w:t>
      </w:r>
      <w:r>
        <w:rPr>
          <w:rFonts w:eastAsia="宋体" w:cs="Times New Roman"/>
          <w:sz w:val="21"/>
        </w:rPr>
        <w:t>，填料层以上的淹没水深</w:t>
      </w:r>
      <w:r>
        <w:rPr>
          <w:rFonts w:eastAsia="宋体" w:cs="Times New Roman"/>
          <w:i/>
          <w:iCs/>
          <w:sz w:val="21"/>
        </w:rPr>
        <w:t>h₃</w:t>
      </w:r>
      <w:r>
        <w:rPr>
          <w:rFonts w:eastAsia="宋体" w:cs="Times New Roman"/>
          <w:sz w:val="21"/>
        </w:rPr>
        <w:t>可取</w:t>
      </w:r>
      <w:r>
        <w:rPr>
          <w:rFonts w:eastAsia="宋体" w:cs="Times New Roman"/>
          <w:sz w:val="21"/>
        </w:rPr>
        <w:t>1.5-2.0</w:t>
      </w:r>
      <w:r>
        <w:rPr>
          <w:rFonts w:eastAsia="宋体" w:cs="Times New Roman" w:hint="eastAsia"/>
          <w:sz w:val="21"/>
        </w:rPr>
        <w:t xml:space="preserve"> </w:t>
      </w:r>
      <w:r>
        <w:rPr>
          <w:rFonts w:eastAsia="宋体" w:cs="Times New Roman"/>
          <w:sz w:val="21"/>
        </w:rPr>
        <w:t>m</w:t>
      </w:r>
      <w:r>
        <w:rPr>
          <w:rFonts w:eastAsia="宋体" w:cs="Times New Roman"/>
          <w:sz w:val="21"/>
        </w:rPr>
        <w:t>，为防止填料逸出而设计的保护高度</w:t>
      </w:r>
      <w:r>
        <w:rPr>
          <w:rFonts w:eastAsia="宋体" w:cs="Times New Roman"/>
          <w:i/>
          <w:iCs/>
          <w:sz w:val="21"/>
        </w:rPr>
        <w:t>h</w:t>
      </w:r>
      <w:r>
        <w:rPr>
          <w:rFonts w:eastAsia="宋体" w:cs="Times New Roman"/>
          <w:i/>
          <w:iCs/>
          <w:sz w:val="21"/>
          <w:vertAlign w:val="subscript"/>
        </w:rPr>
        <w:t>4</w:t>
      </w:r>
      <w:r>
        <w:rPr>
          <w:rFonts w:eastAsia="宋体" w:cs="Times New Roman"/>
          <w:sz w:val="21"/>
        </w:rPr>
        <w:t>可取</w:t>
      </w:r>
      <w:r>
        <w:rPr>
          <w:rFonts w:eastAsia="宋体" w:cs="Times New Roman"/>
          <w:sz w:val="21"/>
        </w:rPr>
        <w:t>0.3-0.5</w:t>
      </w:r>
      <w:r>
        <w:rPr>
          <w:rFonts w:eastAsia="宋体" w:cs="Times New Roman" w:hint="eastAsia"/>
          <w:sz w:val="21"/>
        </w:rPr>
        <w:t xml:space="preserve"> </w:t>
      </w:r>
      <w:r>
        <w:rPr>
          <w:rFonts w:eastAsia="宋体" w:cs="Times New Roman"/>
          <w:sz w:val="21"/>
        </w:rPr>
        <w:t>m</w:t>
      </w:r>
      <w:r>
        <w:rPr>
          <w:rFonts w:eastAsia="宋体" w:cs="Times New Roman"/>
          <w:sz w:val="21"/>
        </w:rPr>
        <w:t>。反冲洗时，填料膨胀率为</w:t>
      </w:r>
      <w:r>
        <w:rPr>
          <w:rFonts w:eastAsia="宋体" w:cs="Times New Roman"/>
          <w:sz w:val="21"/>
        </w:rPr>
        <w:t>30%-50%</w:t>
      </w:r>
      <w:r>
        <w:rPr>
          <w:rFonts w:eastAsia="宋体" w:cs="Times New Roman"/>
          <w:sz w:val="21"/>
        </w:rPr>
        <w:t>，反冲洗排水槽与填料上表面应保持</w:t>
      </w:r>
      <w:r>
        <w:rPr>
          <w:rFonts w:eastAsia="宋体" w:cs="Times New Roman"/>
          <w:sz w:val="21"/>
        </w:rPr>
        <w:t>1.0-1.5</w:t>
      </w:r>
      <w:r>
        <w:rPr>
          <w:rFonts w:eastAsia="宋体" w:cs="Times New Roman" w:hint="eastAsia"/>
          <w:sz w:val="21"/>
        </w:rPr>
        <w:t xml:space="preserve"> </w:t>
      </w:r>
      <w:r>
        <w:rPr>
          <w:rFonts w:eastAsia="宋体" w:cs="Times New Roman"/>
          <w:sz w:val="21"/>
        </w:rPr>
        <w:t>m</w:t>
      </w:r>
      <w:r>
        <w:rPr>
          <w:rFonts w:eastAsia="宋体" w:cs="Times New Roman"/>
          <w:sz w:val="21"/>
        </w:rPr>
        <w:t>的间距。反洗泵流量计算公式为：</w:t>
      </w:r>
      <m:oMath>
        <m:sSub>
          <m:sSubPr>
            <m:ctrlPr>
              <w:rPr>
                <w:rFonts w:ascii="Cambria Math" w:eastAsia="宋体" w:hAnsi="Cambria Math" w:cs="Times New Roman"/>
                <w:sz w:val="21"/>
              </w:rPr>
            </m:ctrlPr>
          </m:sSubPr>
          <m:e>
            <m:r>
              <w:rPr>
                <w:rFonts w:ascii="Cambria Math" w:eastAsia="宋体" w:hAnsi="Cambria Math" w:cs="Times New Roman"/>
                <w:sz w:val="21"/>
              </w:rPr>
              <m:t>Q</m:t>
            </m:r>
          </m:e>
          <m:sub>
            <m:r>
              <w:rPr>
                <w:rFonts w:ascii="Cambria Math" w:eastAsia="宋体" w:hAnsi="Cambria Math" w:cs="Times New Roman"/>
                <w:sz w:val="21"/>
              </w:rPr>
              <m:t>b</m:t>
            </m:r>
          </m:sub>
        </m:sSub>
        <m:r>
          <m:rPr>
            <m:sty m:val="p"/>
          </m:rPr>
          <w:rPr>
            <w:rFonts w:ascii="Cambria Math" w:eastAsia="宋体" w:hAnsi="Cambria Math" w:cs="Times New Roman"/>
            <w:sz w:val="21"/>
          </w:rPr>
          <m:t>=</m:t>
        </m:r>
        <m:sSub>
          <m:sSubPr>
            <m:ctrlPr>
              <w:rPr>
                <w:rFonts w:ascii="Cambria Math" w:eastAsia="宋体" w:hAnsi="Cambria Math" w:cs="Times New Roman"/>
                <w:sz w:val="21"/>
              </w:rPr>
            </m:ctrlPr>
          </m:sSubPr>
          <m:e>
            <m:r>
              <w:rPr>
                <w:rFonts w:ascii="Cambria Math" w:eastAsia="宋体" w:hAnsi="Cambria Math" w:cs="Times New Roman"/>
                <w:sz w:val="21"/>
              </w:rPr>
              <m:t>q</m:t>
            </m:r>
          </m:e>
          <m:sub>
            <m:r>
              <w:rPr>
                <w:rFonts w:ascii="Cambria Math" w:eastAsia="宋体" w:hAnsi="Cambria Math" w:cs="Times New Roman"/>
                <w:sz w:val="21"/>
              </w:rPr>
              <m:t>b</m:t>
            </m:r>
          </m:sub>
        </m:sSub>
        <m:r>
          <m:rPr>
            <m:sty m:val="p"/>
          </m:rPr>
          <w:rPr>
            <w:rFonts w:ascii="Cambria Math" w:eastAsia="宋体" w:hAnsi="Cambria Math" w:cs="Times New Roman"/>
            <w:sz w:val="21"/>
          </w:rPr>
          <m:t>×</m:t>
        </m:r>
        <m:r>
          <w:rPr>
            <w:rFonts w:ascii="Cambria Math" w:eastAsia="宋体" w:hAnsi="Cambria Math" w:cs="Times New Roman"/>
            <w:sz w:val="21"/>
          </w:rPr>
          <m:t>A</m:t>
        </m:r>
      </m:oMath>
      <w:r>
        <w:rPr>
          <w:rFonts w:eastAsia="宋体" w:cs="Times New Roman"/>
          <w:sz w:val="21"/>
        </w:rPr>
        <w:t>，</w:t>
      </w:r>
      <m:oMath>
        <m:sSub>
          <m:sSubPr>
            <m:ctrlPr>
              <w:rPr>
                <w:rFonts w:ascii="Cambria Math" w:eastAsia="宋体" w:hAnsi="Cambria Math" w:cs="Times New Roman"/>
                <w:sz w:val="21"/>
              </w:rPr>
            </m:ctrlPr>
          </m:sSubPr>
          <m:e>
            <m:r>
              <w:rPr>
                <w:rFonts w:ascii="Cambria Math" w:eastAsia="宋体" w:hAnsi="Cambria Math" w:cs="Times New Roman"/>
                <w:sz w:val="21"/>
              </w:rPr>
              <m:t>q</m:t>
            </m:r>
          </m:e>
          <m:sub>
            <m:r>
              <w:rPr>
                <w:rFonts w:ascii="Cambria Math" w:eastAsia="宋体" w:hAnsi="Cambria Math" w:cs="Times New Roman"/>
                <w:sz w:val="21"/>
              </w:rPr>
              <m:t>b</m:t>
            </m:r>
          </m:sub>
        </m:sSub>
      </m:oMath>
      <w:r>
        <w:rPr>
          <w:rFonts w:eastAsia="宋体" w:cs="Times New Roman"/>
          <w:sz w:val="21"/>
        </w:rPr>
        <w:t>为水反冲洗强度，可取</w:t>
      </w:r>
      <w:r>
        <w:rPr>
          <w:rFonts w:eastAsia="宋体" w:cs="Times New Roman"/>
          <w:sz w:val="21"/>
        </w:rPr>
        <w:t>10-15</w:t>
      </w:r>
      <w:r>
        <w:rPr>
          <w:rFonts w:eastAsia="宋体" w:cs="Times New Roman" w:hint="eastAsia"/>
          <w:sz w:val="21"/>
        </w:rPr>
        <w:t xml:space="preserve"> </w:t>
      </w:r>
      <w:r>
        <w:rPr>
          <w:rFonts w:eastAsia="宋体" w:cs="Times New Roman"/>
          <w:sz w:val="21"/>
        </w:rPr>
        <w:t>L/(m²·s)</w:t>
      </w:r>
      <w:r>
        <w:rPr>
          <w:rFonts w:eastAsia="宋体" w:cs="Times New Roman"/>
          <w:sz w:val="21"/>
        </w:rPr>
        <w:t>；</w:t>
      </w:r>
    </w:p>
    <w:p w14:paraId="117C33EF" w14:textId="77777777" w:rsidR="00AB4227" w:rsidRDefault="0048172D">
      <w:pPr>
        <w:pStyle w:val="a1"/>
        <w:adjustRightInd w:val="0"/>
        <w:snapToGrid w:val="0"/>
        <w:spacing w:line="360" w:lineRule="auto"/>
        <w:ind w:firstLineChars="200" w:firstLine="420"/>
        <w:rPr>
          <w:rFonts w:eastAsia="宋体" w:cs="Times New Roman"/>
          <w:sz w:val="21"/>
        </w:rPr>
      </w:pPr>
      <w:r>
        <w:rPr>
          <w:rFonts w:eastAsia="宋体" w:cs="Times New Roman"/>
          <w:sz w:val="21"/>
        </w:rPr>
        <w:t>反洗风机风量计算公式为：</w:t>
      </w:r>
      <m:oMath>
        <m:sSub>
          <m:sSubPr>
            <m:ctrlPr>
              <w:rPr>
                <w:rFonts w:ascii="Cambria Math" w:eastAsia="宋体" w:hAnsi="Cambria Math" w:cs="Times New Roman"/>
                <w:sz w:val="21"/>
              </w:rPr>
            </m:ctrlPr>
          </m:sSubPr>
          <m:e>
            <m:r>
              <w:rPr>
                <w:rFonts w:ascii="Cambria Math" w:eastAsia="宋体" w:hAnsi="Cambria Math" w:cs="Times New Roman"/>
                <w:sz w:val="21"/>
              </w:rPr>
              <m:t>Q</m:t>
            </m:r>
          </m:e>
          <m:sub>
            <m:r>
              <w:rPr>
                <w:rFonts w:ascii="Cambria Math" w:eastAsia="宋体" w:hAnsi="Cambria Math" w:cs="Times New Roman"/>
                <w:sz w:val="21"/>
              </w:rPr>
              <m:t>air</m:t>
            </m:r>
          </m:sub>
        </m:sSub>
        <m:r>
          <m:rPr>
            <m:sty m:val="p"/>
          </m:rPr>
          <w:rPr>
            <w:rFonts w:ascii="Cambria Math" w:eastAsia="宋体" w:hAnsi="Cambria Math" w:cs="Times New Roman"/>
            <w:sz w:val="21"/>
          </w:rPr>
          <m:t>=</m:t>
        </m:r>
        <m:sSub>
          <m:sSubPr>
            <m:ctrlPr>
              <w:rPr>
                <w:rFonts w:ascii="Cambria Math" w:eastAsia="宋体" w:hAnsi="Cambria Math" w:cs="Times New Roman"/>
                <w:sz w:val="21"/>
              </w:rPr>
            </m:ctrlPr>
          </m:sSubPr>
          <m:e>
            <m:r>
              <w:rPr>
                <w:rFonts w:ascii="Cambria Math" w:eastAsia="宋体" w:hAnsi="Cambria Math" w:cs="Times New Roman"/>
                <w:sz w:val="21"/>
              </w:rPr>
              <m:t>q</m:t>
            </m:r>
          </m:e>
          <m:sub>
            <m:r>
              <w:rPr>
                <w:rFonts w:ascii="Cambria Math" w:eastAsia="宋体" w:hAnsi="Cambria Math" w:cs="Times New Roman"/>
                <w:sz w:val="21"/>
              </w:rPr>
              <m:t>air</m:t>
            </m:r>
          </m:sub>
        </m:sSub>
        <m:r>
          <m:rPr>
            <m:sty m:val="p"/>
          </m:rPr>
          <w:rPr>
            <w:rFonts w:ascii="Cambria Math" w:eastAsia="宋体" w:hAnsi="Cambria Math" w:cs="Times New Roman"/>
            <w:sz w:val="21"/>
          </w:rPr>
          <m:t>×</m:t>
        </m:r>
        <m:r>
          <w:rPr>
            <w:rFonts w:ascii="Cambria Math" w:eastAsia="宋体" w:hAnsi="Cambria Math" w:cs="Times New Roman"/>
            <w:sz w:val="21"/>
          </w:rPr>
          <m:t>A</m:t>
        </m:r>
      </m:oMath>
      <w:r>
        <w:rPr>
          <w:rFonts w:eastAsia="宋体" w:cs="Times New Roman"/>
          <w:sz w:val="21"/>
        </w:rPr>
        <w:t>，</w:t>
      </w:r>
      <m:oMath>
        <m:sSub>
          <m:sSubPr>
            <m:ctrlPr>
              <w:rPr>
                <w:rFonts w:ascii="Cambria Math" w:eastAsia="宋体" w:hAnsi="Cambria Math" w:cs="Times New Roman"/>
                <w:sz w:val="21"/>
              </w:rPr>
            </m:ctrlPr>
          </m:sSubPr>
          <m:e>
            <m:r>
              <w:rPr>
                <w:rFonts w:ascii="Cambria Math" w:eastAsia="宋体" w:hAnsi="Cambria Math" w:cs="Times New Roman"/>
                <w:sz w:val="21"/>
              </w:rPr>
              <m:t>q</m:t>
            </m:r>
          </m:e>
          <m:sub>
            <m:r>
              <w:rPr>
                <w:rFonts w:ascii="Cambria Math" w:eastAsia="宋体" w:hAnsi="Cambria Math" w:cs="Times New Roman"/>
                <w:sz w:val="21"/>
              </w:rPr>
              <m:t>air</m:t>
            </m:r>
          </m:sub>
        </m:sSub>
      </m:oMath>
      <w:r>
        <w:rPr>
          <w:rFonts w:eastAsia="宋体" w:cs="Times New Roman"/>
          <w:sz w:val="21"/>
        </w:rPr>
        <w:t>为气反冲洗强度，可取</w:t>
      </w:r>
      <w:r>
        <w:rPr>
          <w:rFonts w:eastAsia="宋体" w:cs="Times New Roman"/>
          <w:sz w:val="21"/>
        </w:rPr>
        <w:t>10-20</w:t>
      </w:r>
      <w:r>
        <w:rPr>
          <w:rFonts w:eastAsia="宋体" w:cs="Times New Roman" w:hint="eastAsia"/>
          <w:sz w:val="21"/>
        </w:rPr>
        <w:t xml:space="preserve"> </w:t>
      </w:r>
      <w:r>
        <w:rPr>
          <w:rFonts w:eastAsia="宋体" w:cs="Times New Roman"/>
          <w:sz w:val="21"/>
        </w:rPr>
        <w:t>L/(m²·s)</w:t>
      </w:r>
      <w:r>
        <w:rPr>
          <w:rFonts w:eastAsia="宋体" w:cs="Times New Roman"/>
          <w:sz w:val="21"/>
        </w:rPr>
        <w:t>。</w:t>
      </w:r>
    </w:p>
    <w:p w14:paraId="64E10A8C" w14:textId="77777777" w:rsidR="00AB4227" w:rsidRDefault="0048172D">
      <w:pPr>
        <w:widowControl/>
        <w:tabs>
          <w:tab w:val="left" w:pos="851"/>
        </w:tabs>
        <w:adjustRightInd w:val="0"/>
        <w:snapToGrid w:val="0"/>
        <w:spacing w:line="360" w:lineRule="auto"/>
        <w:ind w:firstLineChars="200" w:firstLine="420"/>
        <w:rPr>
          <w:rFonts w:cs="Times New Roman"/>
        </w:rPr>
      </w:pPr>
      <w:r>
        <w:rPr>
          <w:rFonts w:cs="Times New Roman"/>
          <w:szCs w:val="21"/>
        </w:rPr>
        <w:t>3</w:t>
      </w:r>
      <w:r>
        <w:rPr>
          <w:rFonts w:cs="Times New Roman"/>
          <w:szCs w:val="21"/>
        </w:rPr>
        <w:t>）</w:t>
      </w:r>
      <w:r>
        <w:rPr>
          <w:rFonts w:cs="Times New Roman"/>
        </w:rPr>
        <w:t>蜂窝管填料</w:t>
      </w:r>
      <w:r>
        <w:rPr>
          <w:rFonts w:cs="Times New Roman" w:hint="eastAsia"/>
        </w:rPr>
        <w:t>反硝化生物接触池，</w:t>
      </w:r>
      <w:r>
        <w:rPr>
          <w:rFonts w:cs="Times New Roman"/>
        </w:rPr>
        <w:t>池子宜设计成正</w:t>
      </w:r>
      <w:r>
        <w:rPr>
          <w:rFonts w:cs="Times New Roman"/>
        </w:rPr>
        <w:t>方形结构，有效水深在</w:t>
      </w:r>
      <w:r>
        <w:rPr>
          <w:rFonts w:cs="Times New Roman" w:hint="eastAsia"/>
        </w:rPr>
        <w:t>4</w:t>
      </w:r>
      <w:r>
        <w:rPr>
          <w:rFonts w:cs="Times New Roman"/>
        </w:rPr>
        <w:t>至</w:t>
      </w:r>
      <w:r>
        <w:rPr>
          <w:rFonts w:cs="Times New Roman" w:hint="eastAsia"/>
        </w:rPr>
        <w:t>6</w:t>
      </w:r>
      <w:r>
        <w:rPr>
          <w:rFonts w:cs="Times New Roman"/>
        </w:rPr>
        <w:t>m</w:t>
      </w:r>
      <w:r>
        <w:rPr>
          <w:rFonts w:cs="Times New Roman"/>
        </w:rPr>
        <w:t>之间，填料高度在</w:t>
      </w:r>
      <w:r>
        <w:rPr>
          <w:rFonts w:cs="Times New Roman"/>
        </w:rPr>
        <w:t>3.0</w:t>
      </w:r>
      <w:r>
        <w:rPr>
          <w:rFonts w:cs="Times New Roman"/>
        </w:rPr>
        <w:t>至</w:t>
      </w:r>
      <w:r>
        <w:rPr>
          <w:rFonts w:cs="Times New Roman"/>
        </w:rPr>
        <w:t>4.0</w:t>
      </w:r>
      <w:r>
        <w:rPr>
          <w:rFonts w:cs="Times New Roman" w:hint="eastAsia"/>
        </w:rPr>
        <w:t xml:space="preserve"> </w:t>
      </w:r>
      <w:r>
        <w:rPr>
          <w:rFonts w:cs="Times New Roman"/>
        </w:rPr>
        <w:t>m</w:t>
      </w:r>
      <w:r>
        <w:rPr>
          <w:rFonts w:cs="Times New Roman"/>
        </w:rPr>
        <w:t>之间。</w:t>
      </w:r>
    </w:p>
    <w:p w14:paraId="285E9BF1" w14:textId="77777777" w:rsidR="00AB4227" w:rsidRDefault="0048172D">
      <w:pPr>
        <w:pStyle w:val="a1"/>
        <w:adjustRightInd w:val="0"/>
        <w:snapToGrid w:val="0"/>
        <w:spacing w:line="360" w:lineRule="auto"/>
        <w:ind w:firstLineChars="200" w:firstLine="420"/>
        <w:rPr>
          <w:rFonts w:eastAsia="宋体" w:cs="Times New Roman"/>
          <w:sz w:val="21"/>
        </w:rPr>
      </w:pPr>
      <w:r>
        <w:rPr>
          <w:rFonts w:eastAsia="宋体" w:cs="Times New Roman"/>
          <w:sz w:val="21"/>
        </w:rPr>
        <w:t>池容计算公式为：</w:t>
      </w:r>
      <m:oMath>
        <m:sSub>
          <m:sSubPr>
            <m:ctrlPr>
              <w:rPr>
                <w:rFonts w:ascii="Cambria Math" w:eastAsia="宋体" w:hAnsi="Cambria Math" w:cs="Times New Roman"/>
                <w:i/>
                <w:sz w:val="21"/>
              </w:rPr>
            </m:ctrlPr>
          </m:sSubPr>
          <m:e>
            <m:r>
              <w:rPr>
                <w:rFonts w:ascii="Cambria Math" w:eastAsia="宋体" w:hAnsi="Cambria Math" w:cs="Times New Roman"/>
                <w:sz w:val="21"/>
              </w:rPr>
              <m:t>V</m:t>
            </m:r>
          </m:e>
          <m:sub>
            <m:r>
              <w:rPr>
                <w:rFonts w:ascii="Cambria Math" w:eastAsia="宋体" w:hAnsi="Cambria Math" w:cs="Times New Roman"/>
                <w:sz w:val="21"/>
              </w:rPr>
              <m:t>0</m:t>
            </m:r>
          </m:sub>
        </m:sSub>
        <m:r>
          <w:rPr>
            <w:rFonts w:ascii="Cambria Math" w:eastAsia="宋体" w:hAnsi="Cambria Math" w:cs="Times New Roman"/>
            <w:sz w:val="21"/>
          </w:rPr>
          <m:t>=</m:t>
        </m:r>
        <m:f>
          <m:fPr>
            <m:ctrlPr>
              <w:rPr>
                <w:rFonts w:ascii="Cambria Math" w:eastAsia="宋体" w:hAnsi="Cambria Math" w:cs="Times New Roman"/>
                <w:i/>
                <w:sz w:val="21"/>
              </w:rPr>
            </m:ctrlPr>
          </m:fPr>
          <m:num>
            <m:r>
              <w:rPr>
                <w:rFonts w:ascii="Cambria Math" w:eastAsia="宋体" w:hAnsi="Cambria Math" w:cs="Times New Roman"/>
                <w:sz w:val="21"/>
              </w:rPr>
              <m:t>Q</m:t>
            </m:r>
          </m:num>
          <m:den>
            <m:r>
              <w:rPr>
                <w:rFonts w:ascii="Cambria Math" w:eastAsia="宋体" w:hAnsi="Cambria Math" w:cs="Times New Roman"/>
                <w:sz w:val="21"/>
              </w:rPr>
              <m:t>t</m:t>
            </m:r>
          </m:den>
        </m:f>
      </m:oMath>
      <w:r>
        <w:rPr>
          <w:rFonts w:eastAsia="宋体" w:cs="Times New Roman"/>
          <w:sz w:val="21"/>
        </w:rPr>
        <w:t>，设计时取</w:t>
      </w:r>
      <w:r>
        <w:rPr>
          <w:rFonts w:eastAsia="宋体" w:cs="Times New Roman"/>
          <w:i/>
          <w:iCs/>
          <w:sz w:val="21"/>
        </w:rPr>
        <w:t>t</w:t>
      </w:r>
      <w:r>
        <w:rPr>
          <w:rFonts w:eastAsia="宋体" w:cs="Times New Roman"/>
          <w:sz w:val="21"/>
        </w:rPr>
        <w:t>=</w:t>
      </w:r>
      <w:r>
        <w:rPr>
          <w:rFonts w:eastAsia="宋体" w:cs="Times New Roman" w:hint="eastAsia"/>
          <w:sz w:val="21"/>
        </w:rPr>
        <w:t>3.0</w:t>
      </w:r>
      <w:r>
        <w:rPr>
          <w:rFonts w:eastAsia="宋体" w:cs="Times New Roman" w:hint="eastAsia"/>
          <w:sz w:val="21"/>
        </w:rPr>
        <w:t xml:space="preserve"> </w:t>
      </w:r>
      <w:r>
        <w:rPr>
          <w:rFonts w:eastAsia="宋体" w:cs="Times New Roman"/>
          <w:sz w:val="21"/>
        </w:rPr>
        <w:t>h</w:t>
      </w:r>
      <w:r>
        <w:rPr>
          <w:rFonts w:eastAsia="宋体" w:cs="Times New Roman"/>
          <w:sz w:val="21"/>
        </w:rPr>
        <w:t>，运行中可在</w:t>
      </w:r>
      <w:r>
        <w:rPr>
          <w:rFonts w:eastAsia="宋体" w:cs="Times New Roman"/>
          <w:sz w:val="21"/>
        </w:rPr>
        <w:t>2.</w:t>
      </w:r>
      <w:r>
        <w:rPr>
          <w:rFonts w:eastAsia="宋体" w:cs="Times New Roman" w:hint="eastAsia"/>
          <w:sz w:val="21"/>
        </w:rPr>
        <w:t>5</w:t>
      </w:r>
      <w:r>
        <w:rPr>
          <w:rFonts w:eastAsia="宋体" w:cs="Times New Roman"/>
          <w:sz w:val="21"/>
        </w:rPr>
        <w:t>-</w:t>
      </w:r>
      <w:r>
        <w:rPr>
          <w:rFonts w:eastAsia="宋体" w:cs="Times New Roman" w:hint="eastAsia"/>
          <w:sz w:val="21"/>
        </w:rPr>
        <w:t>3.0</w:t>
      </w:r>
      <w:r>
        <w:rPr>
          <w:rFonts w:eastAsia="宋体" w:cs="Times New Roman" w:hint="eastAsia"/>
          <w:sz w:val="21"/>
        </w:rPr>
        <w:t xml:space="preserve"> </w:t>
      </w:r>
      <w:r>
        <w:rPr>
          <w:rFonts w:eastAsia="宋体" w:cs="Times New Roman"/>
          <w:sz w:val="21"/>
        </w:rPr>
        <w:t>h</w:t>
      </w:r>
      <w:r>
        <w:rPr>
          <w:rFonts w:eastAsia="宋体" w:cs="Times New Roman"/>
          <w:sz w:val="21"/>
        </w:rPr>
        <w:t>间调控。</w:t>
      </w:r>
    </w:p>
    <w:p w14:paraId="5091226C" w14:textId="77777777" w:rsidR="00AB4227" w:rsidRDefault="0048172D">
      <w:pPr>
        <w:pStyle w:val="aff0"/>
        <w:adjustRightInd w:val="0"/>
        <w:snapToGrid w:val="0"/>
      </w:pPr>
      <w:r>
        <w:t xml:space="preserve">5.2.2 </w:t>
      </w:r>
      <w:r>
        <w:rPr>
          <w:b w:val="0"/>
          <w:bCs w:val="0"/>
        </w:rPr>
        <w:t>硫自养滤池</w:t>
      </w:r>
    </w:p>
    <w:p w14:paraId="6AE27A13" w14:textId="77777777" w:rsidR="00AB4227" w:rsidRDefault="0048172D">
      <w:pPr>
        <w:widowControl/>
        <w:tabs>
          <w:tab w:val="left" w:pos="851"/>
        </w:tabs>
        <w:adjustRightInd w:val="0"/>
        <w:snapToGrid w:val="0"/>
        <w:spacing w:line="360" w:lineRule="auto"/>
        <w:ind w:firstLineChars="200" w:firstLine="420"/>
        <w:rPr>
          <w:rFonts w:cs="Times New Roman"/>
        </w:rPr>
      </w:pPr>
      <w:r>
        <w:rPr>
          <w:rFonts w:cs="Times New Roman"/>
        </w:rPr>
        <w:t>以硫磺等作为电子供体，水力负荷一般为</w:t>
      </w:r>
      <w:r>
        <w:rPr>
          <w:rFonts w:cs="Times New Roman"/>
        </w:rPr>
        <w:t>2</w:t>
      </w:r>
      <w:r>
        <w:rPr>
          <w:rFonts w:cs="Times New Roman"/>
        </w:rPr>
        <w:t>至</w:t>
      </w:r>
      <w:r>
        <w:rPr>
          <w:rFonts w:cs="Times New Roman"/>
        </w:rPr>
        <w:t>5</w:t>
      </w:r>
      <w:r>
        <w:rPr>
          <w:rFonts w:cs="Times New Roman" w:hint="eastAsia"/>
        </w:rPr>
        <w:t xml:space="preserve"> </w:t>
      </w:r>
      <w:r>
        <w:rPr>
          <w:rFonts w:cs="Times New Roman"/>
        </w:rPr>
        <w:t>m³/(m²·h)</w:t>
      </w:r>
      <w:r>
        <w:rPr>
          <w:rFonts w:cs="Times New Roman"/>
        </w:rPr>
        <w:t>，反硝化速率为</w:t>
      </w:r>
      <w:r>
        <w:rPr>
          <w:rFonts w:cs="Times New Roman"/>
        </w:rPr>
        <w:t>0.1</w:t>
      </w:r>
      <w:r>
        <w:rPr>
          <w:rFonts w:cs="Times New Roman"/>
        </w:rPr>
        <w:t>至</w:t>
      </w:r>
      <w:r>
        <w:rPr>
          <w:rFonts w:cs="Times New Roman"/>
        </w:rPr>
        <w:t>0.3kg</w:t>
      </w:r>
      <w:r>
        <w:rPr>
          <w:rFonts w:cs="Times New Roman" w:hint="eastAsia"/>
        </w:rPr>
        <w:t xml:space="preserve"> </w:t>
      </w:r>
      <w:r>
        <w:rPr>
          <w:rFonts w:cs="Times New Roman"/>
        </w:rPr>
        <w:t>NO₃⁻-N/(m³·d)</w:t>
      </w:r>
      <w:r>
        <w:rPr>
          <w:rFonts w:cs="Times New Roman"/>
        </w:rPr>
        <w:t>。</w:t>
      </w:r>
    </w:p>
    <w:p w14:paraId="0D7219E0" w14:textId="77777777" w:rsidR="00AB4227" w:rsidRDefault="0048172D">
      <w:pPr>
        <w:widowControl/>
        <w:tabs>
          <w:tab w:val="left" w:pos="851"/>
        </w:tabs>
        <w:adjustRightInd w:val="0"/>
        <w:snapToGrid w:val="0"/>
        <w:spacing w:line="360" w:lineRule="auto"/>
        <w:ind w:firstLineChars="200" w:firstLine="420"/>
        <w:rPr>
          <w:rFonts w:cs="Times New Roman"/>
        </w:rPr>
      </w:pPr>
      <w:r>
        <w:rPr>
          <w:rFonts w:cs="Times New Roman"/>
        </w:rPr>
        <w:t>需严格控制</w:t>
      </w:r>
      <w:r>
        <w:rPr>
          <w:rFonts w:cs="Times New Roman" w:hint="eastAsia"/>
        </w:rPr>
        <w:t>作为电子供体的硫化物等物质</w:t>
      </w:r>
      <w:r>
        <w:rPr>
          <w:rFonts w:cs="Times New Roman" w:hint="eastAsia"/>
        </w:rPr>
        <w:t>的</w:t>
      </w:r>
      <w:r>
        <w:rPr>
          <w:rFonts w:cs="Times New Roman"/>
        </w:rPr>
        <w:t>含量，避免硫化物残留影响出水水质，同时要</w:t>
      </w:r>
      <w:r>
        <w:rPr>
          <w:rFonts w:cs="Times New Roman" w:hint="eastAsia"/>
        </w:rPr>
        <w:t>严格控制</w:t>
      </w:r>
      <w:r>
        <w:rPr>
          <w:rFonts w:cs="Times New Roman"/>
        </w:rPr>
        <w:t>运行条件，减少副产物的生成。</w:t>
      </w:r>
    </w:p>
    <w:p w14:paraId="6D575A4C" w14:textId="77777777" w:rsidR="00AB4227" w:rsidRDefault="0048172D">
      <w:pPr>
        <w:pStyle w:val="aff0"/>
        <w:adjustRightInd w:val="0"/>
        <w:snapToGrid w:val="0"/>
      </w:pPr>
      <w:r>
        <w:t xml:space="preserve">5.2.3 </w:t>
      </w:r>
      <w:r>
        <w:rPr>
          <w:b w:val="0"/>
          <w:bCs w:val="0"/>
        </w:rPr>
        <w:t>膜生物反应器法</w:t>
      </w:r>
    </w:p>
    <w:p w14:paraId="4B301117" w14:textId="77777777" w:rsidR="00AB4227" w:rsidRDefault="0048172D">
      <w:pPr>
        <w:widowControl/>
        <w:tabs>
          <w:tab w:val="left" w:pos="851"/>
        </w:tabs>
        <w:adjustRightInd w:val="0"/>
        <w:snapToGrid w:val="0"/>
        <w:spacing w:line="360" w:lineRule="auto"/>
        <w:ind w:firstLineChars="200" w:firstLine="420"/>
        <w:rPr>
          <w:rFonts w:cs="Times New Roman"/>
        </w:rPr>
      </w:pPr>
      <w:r>
        <w:rPr>
          <w:rFonts w:cs="Times New Roman" w:hint="eastAsia"/>
        </w:rPr>
        <w:t>采用膜生物反应器（</w:t>
      </w:r>
      <w:r>
        <w:rPr>
          <w:rFonts w:cs="Times New Roman" w:hint="eastAsia"/>
        </w:rPr>
        <w:t>MBR</w:t>
      </w:r>
      <w:r>
        <w:rPr>
          <w:rFonts w:cs="Times New Roman" w:hint="eastAsia"/>
        </w:rPr>
        <w:t>）进行反硝化时，反应器内应设置缺氧区。</w:t>
      </w:r>
      <w:r>
        <w:rPr>
          <w:rFonts w:cs="Times New Roman"/>
        </w:rPr>
        <w:t>膜通量一般为</w:t>
      </w:r>
      <w:r>
        <w:rPr>
          <w:rFonts w:cs="Times New Roman"/>
        </w:rPr>
        <w:t>1</w:t>
      </w:r>
      <w:r>
        <w:rPr>
          <w:rFonts w:cs="Times New Roman" w:hint="eastAsia"/>
        </w:rPr>
        <w:t>5</w:t>
      </w:r>
      <w:r>
        <w:rPr>
          <w:rFonts w:cs="Times New Roman"/>
        </w:rPr>
        <w:t>至</w:t>
      </w:r>
      <w:r>
        <w:rPr>
          <w:rFonts w:cs="Times New Roman" w:hint="eastAsia"/>
        </w:rPr>
        <w:t>40</w:t>
      </w:r>
      <w:r>
        <w:rPr>
          <w:rFonts w:cs="Times New Roman" w:hint="eastAsia"/>
        </w:rPr>
        <w:t xml:space="preserve"> </w:t>
      </w:r>
      <w:r>
        <w:rPr>
          <w:rFonts w:cs="Times New Roman"/>
        </w:rPr>
        <w:t>L/(m²·h)</w:t>
      </w:r>
      <w:r>
        <w:rPr>
          <w:rFonts w:cs="Times New Roman"/>
        </w:rPr>
        <w:t>，水力停留时间为</w:t>
      </w:r>
      <w:r>
        <w:rPr>
          <w:rFonts w:cs="Times New Roman"/>
        </w:rPr>
        <w:t>3</w:t>
      </w:r>
      <w:r>
        <w:rPr>
          <w:rFonts w:cs="Times New Roman"/>
        </w:rPr>
        <w:t>至</w:t>
      </w:r>
      <w:r>
        <w:rPr>
          <w:rFonts w:cs="Times New Roman"/>
        </w:rPr>
        <w:t>8</w:t>
      </w:r>
      <w:r>
        <w:rPr>
          <w:rFonts w:cs="Times New Roman" w:hint="eastAsia"/>
        </w:rPr>
        <w:t xml:space="preserve"> </w:t>
      </w:r>
      <w:r>
        <w:rPr>
          <w:rFonts w:cs="Times New Roman"/>
        </w:rPr>
        <w:t>h</w:t>
      </w:r>
      <w:r>
        <w:rPr>
          <w:rFonts w:cs="Times New Roman"/>
        </w:rPr>
        <w:t>，污泥停留时间为</w:t>
      </w:r>
      <w:r>
        <w:rPr>
          <w:rFonts w:cs="Times New Roman"/>
        </w:rPr>
        <w:t>10</w:t>
      </w:r>
      <w:r>
        <w:rPr>
          <w:rFonts w:cs="Times New Roman"/>
        </w:rPr>
        <w:t>至</w:t>
      </w:r>
      <w:r>
        <w:rPr>
          <w:rFonts w:cs="Times New Roman"/>
        </w:rPr>
        <w:t>30</w:t>
      </w:r>
      <w:r>
        <w:rPr>
          <w:rFonts w:cs="Times New Roman" w:hint="eastAsia"/>
        </w:rPr>
        <w:t xml:space="preserve"> </w:t>
      </w:r>
      <w:r>
        <w:rPr>
          <w:rFonts w:cs="Times New Roman"/>
        </w:rPr>
        <w:t>d</w:t>
      </w:r>
      <w:r>
        <w:rPr>
          <w:rFonts w:cs="Times New Roman"/>
        </w:rPr>
        <w:t>，具体参数应根据处理规模和水质要求进行设计。</w:t>
      </w:r>
    </w:p>
    <w:p w14:paraId="0E0C8663" w14:textId="77777777" w:rsidR="00AB4227" w:rsidRDefault="0048172D">
      <w:pPr>
        <w:widowControl/>
        <w:tabs>
          <w:tab w:val="left" w:pos="851"/>
        </w:tabs>
        <w:adjustRightInd w:val="0"/>
        <w:snapToGrid w:val="0"/>
        <w:spacing w:line="360" w:lineRule="auto"/>
        <w:ind w:firstLineChars="200" w:firstLine="420"/>
        <w:rPr>
          <w:rFonts w:cs="Times New Roman"/>
        </w:rPr>
      </w:pPr>
      <w:r>
        <w:rPr>
          <w:rFonts w:cs="Times New Roman"/>
        </w:rPr>
        <w:t>定期进行物理和化学清洗，以防止膜组件堵塞</w:t>
      </w:r>
      <w:r>
        <w:rPr>
          <w:rFonts w:cs="Times New Roman" w:hint="eastAsia"/>
        </w:rPr>
        <w:t>。</w:t>
      </w:r>
      <w:r>
        <w:rPr>
          <w:rFonts w:cs="Times New Roman" w:hint="eastAsia"/>
        </w:rPr>
        <w:t>控制生物反应池内缺氧区的微生物浓度、活性及运行条件，确保反硝化过程高效进行；同时控制膜分离单元的运行参数，确保膜分离过程稳定运行。</w:t>
      </w:r>
    </w:p>
    <w:p w14:paraId="118C2E14" w14:textId="77777777" w:rsidR="00AB4227" w:rsidRDefault="0048172D">
      <w:pPr>
        <w:pStyle w:val="aff2"/>
        <w:adjustRightInd w:val="0"/>
        <w:snapToGrid w:val="0"/>
      </w:pPr>
      <w:bookmarkStart w:id="81" w:name="_Toc14491"/>
      <w:bookmarkStart w:id="82" w:name="_Toc186791751"/>
      <w:bookmarkStart w:id="83" w:name="_Toc30704"/>
      <w:bookmarkStart w:id="84" w:name="_Toc18237"/>
      <w:r>
        <w:lastRenderedPageBreak/>
        <w:t xml:space="preserve">5.3 </w:t>
      </w:r>
      <w:r>
        <w:rPr>
          <w:b w:val="0"/>
          <w:bCs w:val="0"/>
        </w:rPr>
        <w:t>后处理</w:t>
      </w:r>
      <w:bookmarkEnd w:id="81"/>
      <w:bookmarkEnd w:id="82"/>
      <w:bookmarkEnd w:id="83"/>
      <w:bookmarkEnd w:id="84"/>
    </w:p>
    <w:p w14:paraId="49D06BE3" w14:textId="77777777" w:rsidR="00AB4227" w:rsidRDefault="0048172D">
      <w:pPr>
        <w:pStyle w:val="aff0"/>
        <w:adjustRightInd w:val="0"/>
        <w:snapToGrid w:val="0"/>
      </w:pPr>
      <w:r>
        <w:t xml:space="preserve">5.3.1 </w:t>
      </w:r>
      <w:r>
        <w:rPr>
          <w:b w:val="0"/>
          <w:bCs w:val="0"/>
        </w:rPr>
        <w:t>采用氯消毒方式，</w:t>
      </w:r>
      <w:r>
        <w:rPr>
          <w:rFonts w:hint="eastAsia"/>
          <w:b w:val="0"/>
          <w:bCs w:val="0"/>
        </w:rPr>
        <w:t>灭活处理后水中残留微生物</w:t>
      </w:r>
      <w:r>
        <w:rPr>
          <w:b w:val="0"/>
          <w:bCs w:val="0"/>
        </w:rPr>
        <w:t>。</w:t>
      </w:r>
    </w:p>
    <w:p w14:paraId="5BC7CD43" w14:textId="77777777" w:rsidR="00AB4227" w:rsidRDefault="0048172D">
      <w:pPr>
        <w:pStyle w:val="aff0"/>
        <w:adjustRightInd w:val="0"/>
        <w:snapToGrid w:val="0"/>
        <w:jc w:val="both"/>
      </w:pPr>
      <w:r>
        <w:t xml:space="preserve">5.3.2 </w:t>
      </w:r>
      <w:r>
        <w:rPr>
          <w:b w:val="0"/>
          <w:bCs w:val="0"/>
        </w:rPr>
        <w:t>若需进一步提升水质，可选用超滤、反渗透等膜过滤技术</w:t>
      </w:r>
      <w:r>
        <w:rPr>
          <w:b w:val="0"/>
          <w:bCs w:val="0"/>
        </w:rPr>
        <w:t>，超滤膜通量</w:t>
      </w:r>
      <w:r>
        <w:rPr>
          <w:b w:val="0"/>
          <w:bCs w:val="0"/>
        </w:rPr>
        <w:t>50-150</w:t>
      </w:r>
      <w:r>
        <w:rPr>
          <w:rFonts w:hint="eastAsia"/>
          <w:b w:val="0"/>
          <w:bCs w:val="0"/>
        </w:rPr>
        <w:t xml:space="preserve"> </w:t>
      </w:r>
      <w:r>
        <w:rPr>
          <w:b w:val="0"/>
          <w:bCs w:val="0"/>
        </w:rPr>
        <w:t>L/(m²·h)</w:t>
      </w:r>
      <w:r>
        <w:rPr>
          <w:b w:val="0"/>
          <w:bCs w:val="0"/>
        </w:rPr>
        <w:t>，反渗透脱盐率</w:t>
      </w:r>
      <w:r>
        <w:rPr>
          <w:b w:val="0"/>
          <w:bCs w:val="0"/>
        </w:rPr>
        <w:t>&gt;95%</w:t>
      </w:r>
      <w:r>
        <w:rPr>
          <w:b w:val="0"/>
          <w:bCs w:val="0"/>
        </w:rPr>
        <w:t>。</w:t>
      </w:r>
    </w:p>
    <w:p w14:paraId="1B1A6F77" w14:textId="77777777" w:rsidR="00AB4227" w:rsidRDefault="0048172D">
      <w:pPr>
        <w:adjustRightInd w:val="0"/>
        <w:snapToGrid w:val="0"/>
        <w:spacing w:line="360" w:lineRule="auto"/>
        <w:jc w:val="left"/>
        <w:outlineLvl w:val="0"/>
        <w:rPr>
          <w:rFonts w:cs="Times New Roman"/>
          <w:b/>
          <w:bCs/>
          <w:szCs w:val="21"/>
        </w:rPr>
      </w:pPr>
      <w:bookmarkStart w:id="85" w:name="_Toc32447"/>
      <w:bookmarkStart w:id="86" w:name="OLE_LINK4"/>
      <w:r>
        <w:rPr>
          <w:rFonts w:cs="Times New Roman"/>
          <w:b/>
          <w:bCs/>
          <w:szCs w:val="21"/>
        </w:rPr>
        <w:t xml:space="preserve">6 </w:t>
      </w:r>
      <w:r>
        <w:rPr>
          <w:rFonts w:cs="Times New Roman"/>
          <w:b/>
          <w:bCs/>
          <w:szCs w:val="21"/>
        </w:rPr>
        <w:t>设备选型</w:t>
      </w:r>
      <w:bookmarkEnd w:id="85"/>
    </w:p>
    <w:p w14:paraId="6032DFD3" w14:textId="77777777" w:rsidR="00AB4227" w:rsidRDefault="0048172D">
      <w:pPr>
        <w:pStyle w:val="aff2"/>
        <w:adjustRightInd w:val="0"/>
        <w:snapToGrid w:val="0"/>
      </w:pPr>
      <w:bookmarkStart w:id="87" w:name="_Toc186791753"/>
      <w:bookmarkStart w:id="88" w:name="_Toc2514"/>
      <w:bookmarkStart w:id="89" w:name="_Toc21949"/>
      <w:bookmarkEnd w:id="86"/>
      <w:r>
        <w:t xml:space="preserve">6.1 </w:t>
      </w:r>
      <w:r>
        <w:rPr>
          <w:b w:val="0"/>
          <w:bCs w:val="0"/>
        </w:rPr>
        <w:t>曝气设备</w:t>
      </w:r>
      <w:r>
        <w:rPr>
          <w:rFonts w:hint="eastAsia"/>
          <w:b w:val="0"/>
          <w:bCs w:val="0"/>
        </w:rPr>
        <w:t>用于好样单元，</w:t>
      </w:r>
      <w:r>
        <w:rPr>
          <w:b w:val="0"/>
          <w:bCs w:val="0"/>
        </w:rPr>
        <w:t>小型处理站可选旋涡风机，大型处理厂用罗茨鼓风机，风压</w:t>
      </w:r>
      <w:r>
        <w:rPr>
          <w:b w:val="0"/>
          <w:bCs w:val="0"/>
        </w:rPr>
        <w:t>30-60</w:t>
      </w:r>
      <w:r>
        <w:rPr>
          <w:rFonts w:hint="eastAsia"/>
          <w:b w:val="0"/>
          <w:bCs w:val="0"/>
        </w:rPr>
        <w:t xml:space="preserve"> </w:t>
      </w:r>
      <w:r>
        <w:rPr>
          <w:b w:val="0"/>
          <w:bCs w:val="0"/>
        </w:rPr>
        <w:t>kPa</w:t>
      </w:r>
      <w:r>
        <w:rPr>
          <w:b w:val="0"/>
          <w:bCs w:val="0"/>
        </w:rPr>
        <w:t>，风量依处理水量与溶解氧需求精确计算，搭配微孔曝气盘，氧利用率达</w:t>
      </w:r>
      <w:r>
        <w:rPr>
          <w:b w:val="0"/>
          <w:bCs w:val="0"/>
        </w:rPr>
        <w:t>20%-35%</w:t>
      </w:r>
      <w:r>
        <w:rPr>
          <w:b w:val="0"/>
          <w:bCs w:val="0"/>
        </w:rPr>
        <w:t>。</w:t>
      </w:r>
      <w:bookmarkEnd w:id="87"/>
      <w:bookmarkEnd w:id="88"/>
      <w:bookmarkEnd w:id="89"/>
    </w:p>
    <w:p w14:paraId="1AC19951" w14:textId="77777777" w:rsidR="00AB4227" w:rsidRDefault="0048172D">
      <w:pPr>
        <w:pStyle w:val="aff2"/>
        <w:adjustRightInd w:val="0"/>
        <w:snapToGrid w:val="0"/>
      </w:pPr>
      <w:bookmarkStart w:id="90" w:name="_Toc186791754"/>
      <w:bookmarkStart w:id="91" w:name="_Toc10919"/>
      <w:bookmarkStart w:id="92" w:name="_Toc16673"/>
      <w:r>
        <w:t xml:space="preserve">6.2 </w:t>
      </w:r>
      <w:r>
        <w:rPr>
          <w:b w:val="0"/>
          <w:bCs w:val="0"/>
        </w:rPr>
        <w:t>碳源投加系统采用高精度计量泵，流量精度</w:t>
      </w:r>
      <w:r>
        <w:rPr>
          <w:b w:val="0"/>
          <w:bCs w:val="0"/>
        </w:rPr>
        <w:t>±1%</w:t>
      </w:r>
      <w:r>
        <w:rPr>
          <w:b w:val="0"/>
          <w:bCs w:val="0"/>
        </w:rPr>
        <w:t>，配备耐腐碳源储存罐，容积按</w:t>
      </w:r>
      <w:r>
        <w:rPr>
          <w:b w:val="0"/>
          <w:bCs w:val="0"/>
        </w:rPr>
        <w:t>7-15</w:t>
      </w:r>
      <w:r>
        <w:rPr>
          <w:b w:val="0"/>
          <w:bCs w:val="0"/>
        </w:rPr>
        <w:t>天用量设计，有防泄漏、防晒、防雨措施</w:t>
      </w:r>
      <w:r>
        <w:rPr>
          <w:rFonts w:hint="eastAsia"/>
          <w:b w:val="0"/>
          <w:bCs w:val="0"/>
        </w:rPr>
        <w:t>，</w:t>
      </w:r>
      <w:r>
        <w:rPr>
          <w:rFonts w:hint="eastAsia"/>
          <w:b w:val="0"/>
          <w:bCs w:val="0"/>
        </w:rPr>
        <w:t>宜具备自动控制功能</w:t>
      </w:r>
      <w:r>
        <w:rPr>
          <w:b w:val="0"/>
          <w:bCs w:val="0"/>
        </w:rPr>
        <w:t>。</w:t>
      </w:r>
      <w:bookmarkEnd w:id="90"/>
      <w:bookmarkEnd w:id="91"/>
      <w:bookmarkEnd w:id="92"/>
    </w:p>
    <w:p w14:paraId="10236EFA" w14:textId="77777777" w:rsidR="00AB4227" w:rsidRDefault="0048172D">
      <w:pPr>
        <w:pStyle w:val="aff2"/>
        <w:adjustRightInd w:val="0"/>
        <w:snapToGrid w:val="0"/>
      </w:pPr>
      <w:bookmarkStart w:id="93" w:name="_Toc186791755"/>
      <w:bookmarkStart w:id="94" w:name="_Toc24649"/>
      <w:bookmarkStart w:id="95" w:name="_Toc13063"/>
      <w:r>
        <w:t xml:space="preserve">6.3 </w:t>
      </w:r>
      <w:r>
        <w:rPr>
          <w:b w:val="0"/>
          <w:bCs w:val="0"/>
        </w:rPr>
        <w:t>砂滤池配自动反冲洗装置，活性炭滤池定期更换活性炭，超滤膜过滤可选截留分子量为</w:t>
      </w:r>
      <w:r>
        <w:rPr>
          <w:b w:val="0"/>
          <w:bCs w:val="0"/>
        </w:rPr>
        <w:t>5-10</w:t>
      </w:r>
      <w:r>
        <w:rPr>
          <w:b w:val="0"/>
          <w:bCs w:val="0"/>
        </w:rPr>
        <w:t>万的膜组件，保障过滤效果稳定。</w:t>
      </w:r>
      <w:bookmarkEnd w:id="93"/>
      <w:bookmarkEnd w:id="94"/>
      <w:bookmarkEnd w:id="95"/>
    </w:p>
    <w:p w14:paraId="3A65294A" w14:textId="77777777" w:rsidR="00AB4227" w:rsidRDefault="0048172D">
      <w:pPr>
        <w:pStyle w:val="aff2"/>
        <w:wordWrap w:val="0"/>
        <w:adjustRightInd w:val="0"/>
        <w:snapToGrid w:val="0"/>
      </w:pPr>
      <w:bookmarkStart w:id="96" w:name="_Toc186791756"/>
      <w:bookmarkStart w:id="97" w:name="_Toc15090"/>
      <w:bookmarkStart w:id="98" w:name="_Toc29073"/>
      <w:r>
        <w:t xml:space="preserve">6.4 </w:t>
      </w:r>
      <w:r>
        <w:rPr>
          <w:b w:val="0"/>
          <w:bCs w:val="0"/>
        </w:rPr>
        <w:t>反冲洗泵流量和反冲洗风机风量根据滤池或填料的面积以及反冲洗强度确定，如颗粒填料</w:t>
      </w:r>
      <w:r>
        <w:rPr>
          <w:rFonts w:hint="eastAsia"/>
          <w:b w:val="0"/>
          <w:bCs w:val="0"/>
        </w:rPr>
        <w:t>反硝化生物接触池</w:t>
      </w:r>
      <w:r>
        <w:rPr>
          <w:b w:val="0"/>
          <w:bCs w:val="0"/>
        </w:rPr>
        <w:t>的水反冲洗强度可取</w:t>
      </w:r>
      <w:r>
        <w:rPr>
          <w:b w:val="0"/>
          <w:bCs w:val="0"/>
        </w:rPr>
        <w:t>10-15</w:t>
      </w:r>
      <w:r>
        <w:rPr>
          <w:rFonts w:hint="eastAsia"/>
          <w:b w:val="0"/>
          <w:bCs w:val="0"/>
        </w:rPr>
        <w:t xml:space="preserve"> </w:t>
      </w:r>
      <w:r>
        <w:rPr>
          <w:b w:val="0"/>
          <w:bCs w:val="0"/>
        </w:rPr>
        <w:t>L/(m²·s)</w:t>
      </w:r>
      <w:r>
        <w:rPr>
          <w:b w:val="0"/>
          <w:bCs w:val="0"/>
        </w:rPr>
        <w:t>，气反冲洗强度可取</w:t>
      </w:r>
      <w:r>
        <w:rPr>
          <w:b w:val="0"/>
          <w:bCs w:val="0"/>
        </w:rPr>
        <w:t>10-20</w:t>
      </w:r>
      <w:r>
        <w:rPr>
          <w:rFonts w:hint="eastAsia"/>
          <w:b w:val="0"/>
          <w:bCs w:val="0"/>
        </w:rPr>
        <w:t xml:space="preserve"> </w:t>
      </w:r>
      <w:r>
        <w:rPr>
          <w:b w:val="0"/>
          <w:bCs w:val="0"/>
        </w:rPr>
        <w:t>L/(m²·s)</w:t>
      </w:r>
      <w:r>
        <w:rPr>
          <w:b w:val="0"/>
          <w:bCs w:val="0"/>
        </w:rPr>
        <w:t>。</w:t>
      </w:r>
      <w:bookmarkEnd w:id="96"/>
      <w:r>
        <w:rPr>
          <w:rFonts w:hint="eastAsia"/>
          <w:b w:val="0"/>
          <w:bCs w:val="0"/>
        </w:rPr>
        <w:t>反冲洗水源水水质应符合要求。</w:t>
      </w:r>
      <w:bookmarkEnd w:id="97"/>
      <w:bookmarkEnd w:id="98"/>
    </w:p>
    <w:p w14:paraId="55EDC5C3" w14:textId="77777777" w:rsidR="00AB4227" w:rsidRDefault="0048172D">
      <w:pPr>
        <w:pStyle w:val="aff2"/>
        <w:adjustRightInd w:val="0"/>
        <w:snapToGrid w:val="0"/>
      </w:pPr>
      <w:bookmarkStart w:id="99" w:name="_Toc186791757"/>
      <w:bookmarkStart w:id="100" w:name="_Toc11385"/>
      <w:bookmarkStart w:id="101" w:name="_Toc10225"/>
      <w:r>
        <w:t xml:space="preserve">6.5 </w:t>
      </w:r>
      <w:r>
        <w:rPr>
          <w:b w:val="0"/>
          <w:bCs w:val="0"/>
        </w:rPr>
        <w:t>在线监测设备包括溶解氧监测仪、水质分析仪等，实时监测处理过程中的水质参数，如溶解氧、硝酸盐浓度、有机物含量等，以便及时调整运行参数。</w:t>
      </w:r>
      <w:bookmarkEnd w:id="99"/>
      <w:bookmarkEnd w:id="100"/>
      <w:bookmarkEnd w:id="101"/>
    </w:p>
    <w:p w14:paraId="1DC8A76D" w14:textId="77777777" w:rsidR="00AB4227" w:rsidRDefault="0048172D">
      <w:pPr>
        <w:pStyle w:val="aff"/>
        <w:adjustRightInd w:val="0"/>
        <w:snapToGrid w:val="0"/>
        <w:spacing w:line="360" w:lineRule="auto"/>
        <w:ind w:firstLineChars="0" w:firstLine="0"/>
        <w:jc w:val="left"/>
        <w:outlineLvl w:val="0"/>
        <w:rPr>
          <w:rFonts w:eastAsiaTheme="minorEastAsia" w:cs="Times New Roman"/>
          <w:b/>
          <w:bCs/>
          <w:kern w:val="44"/>
          <w:szCs w:val="21"/>
        </w:rPr>
      </w:pPr>
      <w:bookmarkStart w:id="102" w:name="_Toc32060"/>
      <w:bookmarkStart w:id="103" w:name="_Toc22139"/>
      <w:bookmarkStart w:id="104" w:name="_Toc25292"/>
      <w:r>
        <w:rPr>
          <w:rFonts w:cs="Times New Roman"/>
          <w:b/>
          <w:bCs/>
          <w:szCs w:val="21"/>
        </w:rPr>
        <w:t xml:space="preserve">7 </w:t>
      </w:r>
      <w:r>
        <w:rPr>
          <w:rFonts w:eastAsiaTheme="minorEastAsia" w:cs="Times New Roman"/>
          <w:b/>
          <w:bCs/>
          <w:kern w:val="44"/>
          <w:szCs w:val="21"/>
        </w:rPr>
        <w:t>运行管理</w:t>
      </w:r>
      <w:bookmarkEnd w:id="102"/>
      <w:bookmarkEnd w:id="103"/>
      <w:bookmarkEnd w:id="104"/>
    </w:p>
    <w:p w14:paraId="35CBD56B" w14:textId="77777777" w:rsidR="00AB4227" w:rsidRDefault="0048172D">
      <w:pPr>
        <w:pStyle w:val="aff2"/>
        <w:adjustRightInd w:val="0"/>
        <w:snapToGrid w:val="0"/>
      </w:pPr>
      <w:bookmarkStart w:id="105" w:name="_Toc186791760"/>
      <w:bookmarkStart w:id="106" w:name="_Toc4294"/>
      <w:bookmarkStart w:id="107" w:name="_Toc15479"/>
      <w:r>
        <w:t xml:space="preserve">7.1 </w:t>
      </w:r>
      <w:r>
        <w:rPr>
          <w:b w:val="0"/>
          <w:bCs w:val="0"/>
        </w:rPr>
        <w:t>启动与</w:t>
      </w:r>
      <w:r>
        <w:rPr>
          <w:b w:val="0"/>
          <w:bCs w:val="0"/>
        </w:rPr>
        <w:t>调试</w:t>
      </w:r>
      <w:bookmarkEnd w:id="105"/>
      <w:bookmarkEnd w:id="106"/>
      <w:bookmarkEnd w:id="107"/>
    </w:p>
    <w:p w14:paraId="67C73506" w14:textId="77777777" w:rsidR="00AB4227" w:rsidRDefault="0048172D">
      <w:pPr>
        <w:pStyle w:val="aff0"/>
        <w:adjustRightInd w:val="0"/>
        <w:snapToGrid w:val="0"/>
      </w:pPr>
      <w:r>
        <w:t xml:space="preserve">7.1.1 </w:t>
      </w:r>
      <w:r>
        <w:rPr>
          <w:b w:val="0"/>
          <w:bCs w:val="0"/>
        </w:rPr>
        <w:t>向处理系统接种驯化好的硝化菌、反硝化菌，接种量按反应器有效容积计算，一般为</w:t>
      </w:r>
      <w:r>
        <w:rPr>
          <w:b w:val="0"/>
          <w:bCs w:val="0"/>
        </w:rPr>
        <w:t>5%-10%</w:t>
      </w:r>
      <w:r>
        <w:rPr>
          <w:b w:val="0"/>
          <w:bCs w:val="0"/>
        </w:rPr>
        <w:t>。</w:t>
      </w:r>
    </w:p>
    <w:p w14:paraId="604A0823" w14:textId="77777777" w:rsidR="00AB4227" w:rsidRDefault="0048172D">
      <w:pPr>
        <w:pStyle w:val="aff0"/>
        <w:adjustRightInd w:val="0"/>
        <w:snapToGrid w:val="0"/>
      </w:pPr>
      <w:r>
        <w:t xml:space="preserve">7.1.2 </w:t>
      </w:r>
      <w:r>
        <w:rPr>
          <w:b w:val="0"/>
          <w:bCs w:val="0"/>
        </w:rPr>
        <w:t>启动初期，以低流量进水，逐步提升进水量至设计流量，此过程约持续</w:t>
      </w:r>
      <w:r>
        <w:rPr>
          <w:b w:val="0"/>
          <w:bCs w:val="0"/>
        </w:rPr>
        <w:t>1-2</w:t>
      </w:r>
      <w:r>
        <w:rPr>
          <w:b w:val="0"/>
          <w:bCs w:val="0"/>
        </w:rPr>
        <w:t>周，同步监测水质变化。</w:t>
      </w:r>
    </w:p>
    <w:p w14:paraId="13270235" w14:textId="77777777" w:rsidR="00AB4227" w:rsidRDefault="0048172D">
      <w:pPr>
        <w:pStyle w:val="aff0"/>
        <w:adjustRightInd w:val="0"/>
        <w:snapToGrid w:val="0"/>
      </w:pPr>
      <w:r>
        <w:t xml:space="preserve">7.1.3 </w:t>
      </w:r>
      <w:r>
        <w:rPr>
          <w:b w:val="0"/>
          <w:bCs w:val="0"/>
        </w:rPr>
        <w:t>生物膜法启动初期，低流速进水，添加适量营养物质，</w:t>
      </w:r>
      <w:r>
        <w:rPr>
          <w:b w:val="0"/>
          <w:bCs w:val="0"/>
        </w:rPr>
        <w:t>1-2</w:t>
      </w:r>
      <w:r>
        <w:rPr>
          <w:b w:val="0"/>
          <w:bCs w:val="0"/>
        </w:rPr>
        <w:t>周实现生物膜挂膜成功。</w:t>
      </w:r>
    </w:p>
    <w:p w14:paraId="5A8C5669" w14:textId="77777777" w:rsidR="00AB4227" w:rsidRDefault="0048172D">
      <w:pPr>
        <w:pStyle w:val="aff2"/>
        <w:adjustRightInd w:val="0"/>
        <w:snapToGrid w:val="0"/>
      </w:pPr>
      <w:bookmarkStart w:id="108" w:name="_Toc186791761"/>
      <w:bookmarkStart w:id="109" w:name="_Toc5874"/>
      <w:bookmarkStart w:id="110" w:name="_Toc25645"/>
      <w:r>
        <w:t xml:space="preserve">7.2 </w:t>
      </w:r>
      <w:r>
        <w:rPr>
          <w:b w:val="0"/>
          <w:bCs w:val="0"/>
        </w:rPr>
        <w:t>日常运行</w:t>
      </w:r>
      <w:bookmarkEnd w:id="108"/>
      <w:bookmarkEnd w:id="109"/>
      <w:bookmarkEnd w:id="110"/>
    </w:p>
    <w:p w14:paraId="54DBEBF6" w14:textId="77777777" w:rsidR="00AB4227" w:rsidRDefault="0048172D">
      <w:pPr>
        <w:pStyle w:val="aff0"/>
        <w:adjustRightInd w:val="0"/>
        <w:snapToGrid w:val="0"/>
      </w:pPr>
      <w:r>
        <w:t>7.2.1</w:t>
      </w:r>
      <w:r>
        <w:rPr>
          <w:b w:val="0"/>
          <w:bCs w:val="0"/>
        </w:rPr>
        <w:t xml:space="preserve"> </w:t>
      </w:r>
      <w:r>
        <w:rPr>
          <w:b w:val="0"/>
          <w:bCs w:val="0"/>
        </w:rPr>
        <w:t>通过调节进水阀门等手段，维持稳定的进水流量，偏差控制在</w:t>
      </w:r>
      <w:r>
        <w:rPr>
          <w:b w:val="0"/>
          <w:bCs w:val="0"/>
        </w:rPr>
        <w:t>±10%</w:t>
      </w:r>
      <w:r>
        <w:rPr>
          <w:b w:val="0"/>
          <w:bCs w:val="0"/>
        </w:rPr>
        <w:t>以内。</w:t>
      </w:r>
    </w:p>
    <w:p w14:paraId="13F812D6" w14:textId="77777777" w:rsidR="00AB4227" w:rsidRDefault="0048172D">
      <w:pPr>
        <w:pStyle w:val="aff0"/>
        <w:adjustRightInd w:val="0"/>
        <w:snapToGrid w:val="0"/>
      </w:pPr>
      <w:r>
        <w:t xml:space="preserve">7.2.2 </w:t>
      </w:r>
      <w:r>
        <w:rPr>
          <w:b w:val="0"/>
          <w:bCs w:val="0"/>
        </w:rPr>
        <w:t>每日监测进水、出水硝酸盐浓度等关键指标，根据监测结果及时调整运行参数，如有机碳源投加量。</w:t>
      </w:r>
    </w:p>
    <w:p w14:paraId="2EF766BF" w14:textId="77777777" w:rsidR="00AB4227" w:rsidRDefault="0048172D">
      <w:pPr>
        <w:pStyle w:val="aff0"/>
        <w:adjustRightInd w:val="0"/>
        <w:snapToGrid w:val="0"/>
      </w:pPr>
      <w:r>
        <w:t>7.2.</w:t>
      </w:r>
      <w:r>
        <w:t xml:space="preserve">3 </w:t>
      </w:r>
      <w:r>
        <w:rPr>
          <w:b w:val="0"/>
          <w:bCs w:val="0"/>
        </w:rPr>
        <w:t>每</w:t>
      </w:r>
      <w:r>
        <w:rPr>
          <w:b w:val="0"/>
          <w:bCs w:val="0"/>
        </w:rPr>
        <w:t>2-4</w:t>
      </w:r>
      <w:r>
        <w:rPr>
          <w:b w:val="0"/>
          <w:bCs w:val="0"/>
        </w:rPr>
        <w:t>小时巡检一次曝气设备、水泵等关键设备，检查运行声音、温度等，及时排除故障隐患。</w:t>
      </w:r>
    </w:p>
    <w:p w14:paraId="642D8068" w14:textId="77777777" w:rsidR="00AB4227" w:rsidRDefault="0048172D">
      <w:pPr>
        <w:pStyle w:val="aff0"/>
        <w:adjustRightInd w:val="0"/>
        <w:snapToGrid w:val="0"/>
      </w:pPr>
      <w:r>
        <w:t xml:space="preserve">7.2.4 </w:t>
      </w:r>
      <w:r>
        <w:rPr>
          <w:b w:val="0"/>
          <w:bCs w:val="0"/>
        </w:rPr>
        <w:t>定期检查格栅的运行状况，及时清理栅渣，防止格栅堵塞影响进水。一般每</w:t>
      </w:r>
      <w:r>
        <w:rPr>
          <w:b w:val="0"/>
          <w:bCs w:val="0"/>
        </w:rPr>
        <w:t>2-4</w:t>
      </w:r>
      <w:r>
        <w:rPr>
          <w:b w:val="0"/>
          <w:bCs w:val="0"/>
        </w:rPr>
        <w:t>小时检查一次，若进水杂质较多，应增加检查频率。</w:t>
      </w:r>
    </w:p>
    <w:p w14:paraId="40A3F983" w14:textId="77777777" w:rsidR="00AB4227" w:rsidRDefault="0048172D">
      <w:pPr>
        <w:pStyle w:val="aff0"/>
        <w:adjustRightInd w:val="0"/>
        <w:snapToGrid w:val="0"/>
      </w:pPr>
      <w:r>
        <w:t xml:space="preserve">7.2.5 </w:t>
      </w:r>
      <w:r>
        <w:rPr>
          <w:b w:val="0"/>
          <w:bCs w:val="0"/>
        </w:rPr>
        <w:t>过滤设备运行期间，需密切关注过滤阻力的变化，当阻力达到一定值时及时进行反冲洗。反冲洗周期一般为</w:t>
      </w:r>
      <w:r>
        <w:rPr>
          <w:b w:val="0"/>
          <w:bCs w:val="0"/>
        </w:rPr>
        <w:t>12-24</w:t>
      </w:r>
      <w:r>
        <w:rPr>
          <w:b w:val="0"/>
          <w:bCs w:val="0"/>
        </w:rPr>
        <w:t>小时，具体根据进水水质和过滤效果确定。反冲洗强度应适</w:t>
      </w:r>
      <w:r>
        <w:rPr>
          <w:b w:val="0"/>
          <w:bCs w:val="0"/>
        </w:rPr>
        <w:lastRenderedPageBreak/>
        <w:t>中，避免滤料流失。</w:t>
      </w:r>
    </w:p>
    <w:p w14:paraId="6DA7E75C" w14:textId="77777777" w:rsidR="00AB4227" w:rsidRDefault="0048172D">
      <w:pPr>
        <w:pStyle w:val="aff2"/>
        <w:adjustRightInd w:val="0"/>
        <w:snapToGrid w:val="0"/>
      </w:pPr>
      <w:bookmarkStart w:id="111" w:name="_Toc186791762"/>
      <w:bookmarkStart w:id="112" w:name="_Toc2905"/>
      <w:bookmarkStart w:id="113" w:name="_Toc5273"/>
      <w:r>
        <w:t xml:space="preserve">7.3 </w:t>
      </w:r>
      <w:r>
        <w:rPr>
          <w:b w:val="0"/>
          <w:bCs w:val="0"/>
        </w:rPr>
        <w:t>生物反硝化系统运行管理</w:t>
      </w:r>
      <w:bookmarkEnd w:id="111"/>
      <w:bookmarkEnd w:id="112"/>
      <w:bookmarkEnd w:id="113"/>
    </w:p>
    <w:p w14:paraId="5D63AD48" w14:textId="77777777" w:rsidR="00AB4227" w:rsidRDefault="0048172D">
      <w:pPr>
        <w:pStyle w:val="aff0"/>
        <w:adjustRightInd w:val="0"/>
        <w:snapToGrid w:val="0"/>
      </w:pPr>
      <w:r>
        <w:t xml:space="preserve">7.3.1 </w:t>
      </w:r>
      <w:r>
        <w:rPr>
          <w:b w:val="0"/>
          <w:bCs w:val="0"/>
        </w:rPr>
        <w:t>定期观察生物膜的生长情况，如颜色、厚度、均匀性等，若发现</w:t>
      </w:r>
      <w:r>
        <w:rPr>
          <w:b w:val="0"/>
          <w:bCs w:val="0"/>
        </w:rPr>
        <w:t>生物膜异常应及时采取措施。反冲洗周期一般为</w:t>
      </w:r>
      <w:r>
        <w:rPr>
          <w:b w:val="0"/>
          <w:bCs w:val="0"/>
        </w:rPr>
        <w:t>10-20</w:t>
      </w:r>
      <w:r>
        <w:rPr>
          <w:b w:val="0"/>
          <w:bCs w:val="0"/>
        </w:rPr>
        <w:t>天，反冲洗强度要适宜，防止生物膜过度脱落。</w:t>
      </w:r>
    </w:p>
    <w:p w14:paraId="53FB7C8B" w14:textId="77777777" w:rsidR="00AB4227" w:rsidRDefault="0048172D">
      <w:pPr>
        <w:pStyle w:val="aff2"/>
        <w:adjustRightInd w:val="0"/>
        <w:snapToGrid w:val="0"/>
      </w:pPr>
      <w:bookmarkStart w:id="114" w:name="_Toc186791763"/>
      <w:bookmarkStart w:id="115" w:name="_Toc4049"/>
      <w:bookmarkStart w:id="116" w:name="_Toc31640"/>
      <w:r>
        <w:t xml:space="preserve">7.4 </w:t>
      </w:r>
      <w:r>
        <w:rPr>
          <w:b w:val="0"/>
          <w:bCs w:val="0"/>
        </w:rPr>
        <w:t>后处理系统运行管理</w:t>
      </w:r>
      <w:bookmarkEnd w:id="114"/>
      <w:bookmarkEnd w:id="115"/>
      <w:bookmarkEnd w:id="116"/>
    </w:p>
    <w:p w14:paraId="71E5D515" w14:textId="77777777" w:rsidR="00AB4227" w:rsidRDefault="0048172D">
      <w:pPr>
        <w:pStyle w:val="aff0"/>
        <w:adjustRightInd w:val="0"/>
        <w:snapToGrid w:val="0"/>
      </w:pPr>
      <w:r>
        <w:t xml:space="preserve">7.4.1 </w:t>
      </w:r>
      <w:r>
        <w:rPr>
          <w:b w:val="0"/>
          <w:bCs w:val="0"/>
        </w:rPr>
        <w:t>若采用好氧处理设备，应将溶解氧浓度控制在</w:t>
      </w:r>
      <w:r>
        <w:rPr>
          <w:b w:val="0"/>
          <w:bCs w:val="0"/>
        </w:rPr>
        <w:t>2-4mg/L</w:t>
      </w:r>
      <w:r>
        <w:rPr>
          <w:b w:val="0"/>
          <w:bCs w:val="0"/>
        </w:rPr>
        <w:t>，通过调节曝气设备实现。定期检测出水的有机物含量、氨氮等指标，根据检测结果调整运行参数。</w:t>
      </w:r>
    </w:p>
    <w:p w14:paraId="192C78BF" w14:textId="77777777" w:rsidR="00AB4227" w:rsidRDefault="0048172D">
      <w:pPr>
        <w:pStyle w:val="aff0"/>
        <w:adjustRightInd w:val="0"/>
        <w:snapToGrid w:val="0"/>
      </w:pPr>
      <w:r>
        <w:t xml:space="preserve">7.4.2 </w:t>
      </w:r>
      <w:r>
        <w:rPr>
          <w:b w:val="0"/>
          <w:bCs w:val="0"/>
        </w:rPr>
        <w:t>二沉池运行时，要确保表面水力负荷符合设计要求，一般为</w:t>
      </w:r>
      <w:r>
        <w:rPr>
          <w:b w:val="0"/>
          <w:bCs w:val="0"/>
        </w:rPr>
        <w:t>0.5-0.9</w:t>
      </w:r>
      <w:r>
        <w:rPr>
          <w:rFonts w:hint="eastAsia"/>
          <w:b w:val="0"/>
          <w:bCs w:val="0"/>
        </w:rPr>
        <w:t xml:space="preserve"> </w:t>
      </w:r>
      <w:r>
        <w:rPr>
          <w:b w:val="0"/>
          <w:bCs w:val="0"/>
        </w:rPr>
        <w:t>m³/(m²·h)</w:t>
      </w:r>
      <w:r>
        <w:rPr>
          <w:b w:val="0"/>
          <w:bCs w:val="0"/>
        </w:rPr>
        <w:t>，定期排泥。深度过滤设备如活性炭滤池，要根据过滤效果和水头损失情况，及时进行反冲洗或更换活性炭，反冲洗周期一般为</w:t>
      </w:r>
      <w:r>
        <w:rPr>
          <w:b w:val="0"/>
          <w:bCs w:val="0"/>
        </w:rPr>
        <w:t>7-15</w:t>
      </w:r>
      <w:r>
        <w:rPr>
          <w:b w:val="0"/>
          <w:bCs w:val="0"/>
        </w:rPr>
        <w:t>天。</w:t>
      </w:r>
    </w:p>
    <w:p w14:paraId="5A210370" w14:textId="77777777" w:rsidR="00AB4227" w:rsidRDefault="0048172D">
      <w:pPr>
        <w:pStyle w:val="aff2"/>
        <w:adjustRightInd w:val="0"/>
        <w:snapToGrid w:val="0"/>
      </w:pPr>
      <w:bookmarkStart w:id="117" w:name="_Toc186791764"/>
      <w:bookmarkStart w:id="118" w:name="_Toc14860"/>
      <w:bookmarkStart w:id="119" w:name="_Toc20740"/>
      <w:r>
        <w:t xml:space="preserve">7.5 </w:t>
      </w:r>
      <w:r>
        <w:rPr>
          <w:b w:val="0"/>
          <w:bCs w:val="0"/>
        </w:rPr>
        <w:t>其他配套设备运行管理</w:t>
      </w:r>
      <w:bookmarkEnd w:id="117"/>
      <w:bookmarkEnd w:id="118"/>
      <w:bookmarkEnd w:id="119"/>
    </w:p>
    <w:p w14:paraId="3F8DC78A" w14:textId="77777777" w:rsidR="00AB4227" w:rsidRDefault="0048172D">
      <w:pPr>
        <w:pStyle w:val="aff0"/>
        <w:adjustRightInd w:val="0"/>
        <w:snapToGrid w:val="0"/>
      </w:pPr>
      <w:r>
        <w:t>7.5.1</w:t>
      </w:r>
      <w:r>
        <w:rPr>
          <w:b w:val="0"/>
          <w:bCs w:val="0"/>
        </w:rPr>
        <w:t xml:space="preserve"> </w:t>
      </w:r>
      <w:r>
        <w:rPr>
          <w:b w:val="0"/>
          <w:bCs w:val="0"/>
        </w:rPr>
        <w:t>定期检查曝气设备的运行状况，包括曝气头的堵塞情况、风机的运行电流和压力等，确保曝气均匀、稳定。一般每周检查一次，若发现曝气不均匀或气量不足，应及时清理曝气头或维修风机。</w:t>
      </w:r>
    </w:p>
    <w:p w14:paraId="3D2CC988" w14:textId="77777777" w:rsidR="00AB4227" w:rsidRDefault="0048172D">
      <w:pPr>
        <w:pStyle w:val="aff0"/>
        <w:adjustRightInd w:val="0"/>
        <w:snapToGrid w:val="0"/>
      </w:pPr>
      <w:r>
        <w:t xml:space="preserve">7.5.2 </w:t>
      </w:r>
      <w:r>
        <w:rPr>
          <w:b w:val="0"/>
          <w:bCs w:val="0"/>
        </w:rPr>
        <w:t>加药设备要保证药剂的准确投加，定期校准计量泵，确保投加量的误差在</w:t>
      </w:r>
      <w:r>
        <w:rPr>
          <w:b w:val="0"/>
          <w:bCs w:val="0"/>
        </w:rPr>
        <w:t>±5%</w:t>
      </w:r>
      <w:r>
        <w:rPr>
          <w:b w:val="0"/>
          <w:bCs w:val="0"/>
        </w:rPr>
        <w:t>以内。同时，要及时补充药剂，防止药剂短缺影响处理效果。</w:t>
      </w:r>
    </w:p>
    <w:p w14:paraId="7A3C3C6C" w14:textId="77777777" w:rsidR="00AB4227" w:rsidRDefault="0048172D">
      <w:pPr>
        <w:pStyle w:val="aff0"/>
        <w:adjustRightInd w:val="0"/>
        <w:snapToGrid w:val="0"/>
      </w:pPr>
      <w:r>
        <w:t xml:space="preserve">7.5.3 </w:t>
      </w:r>
      <w:r>
        <w:rPr>
          <w:b w:val="0"/>
          <w:bCs w:val="0"/>
        </w:rPr>
        <w:t>反冲洗设备在运行前应进行检查和调试，确保反冲洗泵和风机的正常运行。反冲洗结束后，要检查设备的恢复情况，如滤池的过滤性能、填料的状态等。</w:t>
      </w:r>
    </w:p>
    <w:p w14:paraId="73E6E927" w14:textId="77777777" w:rsidR="00AB4227" w:rsidRDefault="0048172D">
      <w:pPr>
        <w:pStyle w:val="aff0"/>
        <w:adjustRightInd w:val="0"/>
        <w:snapToGrid w:val="0"/>
      </w:pPr>
      <w:r>
        <w:t xml:space="preserve">7.5.4 </w:t>
      </w:r>
      <w:r>
        <w:rPr>
          <w:b w:val="0"/>
          <w:bCs w:val="0"/>
        </w:rPr>
        <w:t>在线监测设备要定期校准和维护，确保监测数据的准确性和可靠性。一般每周校准一次，若发现数据异常应及时检查和维修。</w:t>
      </w:r>
    </w:p>
    <w:p w14:paraId="7C8B68FD" w14:textId="77777777" w:rsidR="00AB4227" w:rsidRDefault="0048172D">
      <w:pPr>
        <w:pStyle w:val="aff0"/>
        <w:adjustRightInd w:val="0"/>
        <w:snapToGrid w:val="0"/>
      </w:pPr>
      <w:r>
        <w:t xml:space="preserve">7.5.5 </w:t>
      </w:r>
      <w:r>
        <w:rPr>
          <w:b w:val="0"/>
          <w:bCs w:val="0"/>
        </w:rPr>
        <w:t>自动化控制系统要定期检查和维护，确保各设备的远程控制功能正常，报警系统灵敏可靠。同时，要及时更新控制系统的软件和程序，提高系统的稳定性和安全性。</w:t>
      </w:r>
    </w:p>
    <w:p w14:paraId="0B479A70" w14:textId="77777777" w:rsidR="00AB4227" w:rsidRDefault="0048172D">
      <w:pPr>
        <w:pStyle w:val="aff2"/>
        <w:adjustRightInd w:val="0"/>
        <w:snapToGrid w:val="0"/>
      </w:pPr>
      <w:bookmarkStart w:id="120" w:name="_Toc186791765"/>
      <w:bookmarkStart w:id="121" w:name="_Toc15974"/>
      <w:bookmarkStart w:id="122" w:name="_Toc6139"/>
      <w:r>
        <w:t xml:space="preserve">7.6 </w:t>
      </w:r>
      <w:r>
        <w:rPr>
          <w:b w:val="0"/>
          <w:bCs w:val="0"/>
        </w:rPr>
        <w:t>故障处理</w:t>
      </w:r>
      <w:bookmarkEnd w:id="120"/>
      <w:bookmarkEnd w:id="121"/>
      <w:bookmarkEnd w:id="122"/>
    </w:p>
    <w:p w14:paraId="54FC7D26" w14:textId="77777777" w:rsidR="00AB4227" w:rsidRDefault="0048172D">
      <w:pPr>
        <w:pStyle w:val="aff0"/>
        <w:adjustRightInd w:val="0"/>
        <w:snapToGrid w:val="0"/>
        <w:rPr>
          <w:color w:val="000000"/>
          <w:kern w:val="0"/>
          <w:szCs w:val="21"/>
          <w:lang w:bidi="ar"/>
        </w:rPr>
      </w:pPr>
      <w:r>
        <w:t xml:space="preserve">7.6.1 </w:t>
      </w:r>
      <w:r>
        <w:rPr>
          <w:b w:val="0"/>
          <w:bCs w:val="0"/>
        </w:rPr>
        <w:t>出水硝酸盐超标时，应排查碳源供应、反硝化时间、微生物活性等因素，</w:t>
      </w:r>
      <w:r>
        <w:rPr>
          <w:b w:val="0"/>
          <w:bCs w:val="0"/>
        </w:rPr>
        <w:t>针对性整改；设备故障时，迅速启用备用设备，并及时维修。</w:t>
      </w:r>
    </w:p>
    <w:p w14:paraId="7559F910" w14:textId="77777777" w:rsidR="00AB4227" w:rsidRDefault="0048172D">
      <w:pPr>
        <w:pStyle w:val="aff0"/>
        <w:adjustRightInd w:val="0"/>
        <w:snapToGrid w:val="0"/>
      </w:pPr>
      <w:r>
        <w:t xml:space="preserve">7.6.2 </w:t>
      </w:r>
      <w:r>
        <w:rPr>
          <w:b w:val="0"/>
          <w:bCs w:val="0"/>
        </w:rPr>
        <w:t>当原水硝酸盐浓度突然大幅升高时，可临时加大有机碳源投加量至</w:t>
      </w:r>
      <w:r>
        <w:rPr>
          <w:b w:val="0"/>
          <w:bCs w:val="0"/>
        </w:rPr>
        <w:t>1-2</w:t>
      </w:r>
      <w:r>
        <w:rPr>
          <w:b w:val="0"/>
          <w:bCs w:val="0"/>
        </w:rPr>
        <w:t>倍，同时降低进水流量</w:t>
      </w:r>
      <w:r>
        <w:rPr>
          <w:b w:val="0"/>
          <w:bCs w:val="0"/>
        </w:rPr>
        <w:t>30%-50%</w:t>
      </w:r>
      <w:r>
        <w:rPr>
          <w:b w:val="0"/>
          <w:bCs w:val="0"/>
        </w:rPr>
        <w:t>，保障处理效果。</w:t>
      </w:r>
    </w:p>
    <w:p w14:paraId="17B4C7FC" w14:textId="77777777" w:rsidR="00AB4227" w:rsidRDefault="0048172D">
      <w:pPr>
        <w:adjustRightInd w:val="0"/>
        <w:snapToGrid w:val="0"/>
        <w:spacing w:line="360" w:lineRule="auto"/>
        <w:jc w:val="left"/>
        <w:outlineLvl w:val="0"/>
        <w:rPr>
          <w:rFonts w:cs="Times New Roman"/>
          <w:b/>
          <w:bCs/>
          <w:szCs w:val="21"/>
        </w:rPr>
      </w:pPr>
      <w:bookmarkStart w:id="123" w:name="_Toc23621"/>
      <w:bookmarkStart w:id="124" w:name="_Toc10703"/>
      <w:bookmarkStart w:id="125" w:name="_Toc31250"/>
      <w:r>
        <w:rPr>
          <w:rFonts w:cs="Times New Roman"/>
          <w:b/>
          <w:bCs/>
          <w:szCs w:val="21"/>
        </w:rPr>
        <w:t xml:space="preserve">8 </w:t>
      </w:r>
      <w:r>
        <w:rPr>
          <w:rFonts w:cs="Times New Roman"/>
          <w:b/>
          <w:bCs/>
          <w:szCs w:val="21"/>
        </w:rPr>
        <w:t>监测</w:t>
      </w:r>
      <w:bookmarkEnd w:id="123"/>
      <w:bookmarkEnd w:id="124"/>
      <w:bookmarkEnd w:id="125"/>
    </w:p>
    <w:p w14:paraId="0D68DB0D" w14:textId="77777777" w:rsidR="00AB4227" w:rsidRDefault="0048172D">
      <w:pPr>
        <w:pStyle w:val="aff2"/>
        <w:adjustRightInd w:val="0"/>
        <w:snapToGrid w:val="0"/>
      </w:pPr>
      <w:bookmarkStart w:id="126" w:name="_Toc186791767"/>
      <w:bookmarkStart w:id="127" w:name="_Toc13479"/>
      <w:bookmarkStart w:id="128" w:name="_Toc18630"/>
      <w:r>
        <w:t xml:space="preserve">8.1 </w:t>
      </w:r>
      <w:r>
        <w:rPr>
          <w:rFonts w:hint="eastAsia"/>
          <w:b w:val="0"/>
          <w:bCs w:val="0"/>
        </w:rPr>
        <w:t>进水监测每日不少于</w:t>
      </w:r>
      <w:r>
        <w:rPr>
          <w:rFonts w:hint="eastAsia"/>
          <w:b w:val="0"/>
          <w:bCs w:val="0"/>
        </w:rPr>
        <w:t>1</w:t>
      </w:r>
      <w:r>
        <w:rPr>
          <w:rFonts w:hint="eastAsia"/>
          <w:b w:val="0"/>
          <w:bCs w:val="0"/>
        </w:rPr>
        <w:t>次，包括</w:t>
      </w:r>
      <w:r>
        <w:rPr>
          <w:b w:val="0"/>
          <w:bCs w:val="0"/>
        </w:rPr>
        <w:t>硝酸盐氮、亚硝酸盐氮、化学需氧量（</w:t>
      </w:r>
      <w:r>
        <w:rPr>
          <w:b w:val="0"/>
          <w:bCs w:val="0"/>
        </w:rPr>
        <w:t>COD</w:t>
      </w:r>
      <w:r>
        <w:rPr>
          <w:b w:val="0"/>
          <w:bCs w:val="0"/>
        </w:rPr>
        <w:t>）、</w:t>
      </w:r>
      <w:r>
        <w:rPr>
          <w:b w:val="0"/>
          <w:bCs w:val="0"/>
        </w:rPr>
        <w:t>pH</w:t>
      </w:r>
      <w:r>
        <w:rPr>
          <w:b w:val="0"/>
          <w:bCs w:val="0"/>
        </w:rPr>
        <w:t>、水温等指标，</w:t>
      </w:r>
      <w:r>
        <w:rPr>
          <w:rFonts w:hint="eastAsia"/>
          <w:b w:val="0"/>
          <w:bCs w:val="0"/>
        </w:rPr>
        <w:t>水质波动大时增加频次</w:t>
      </w:r>
      <w:r>
        <w:rPr>
          <w:b w:val="0"/>
          <w:bCs w:val="0"/>
        </w:rPr>
        <w:t>。</w:t>
      </w:r>
      <w:bookmarkEnd w:id="126"/>
      <w:bookmarkEnd w:id="127"/>
      <w:bookmarkEnd w:id="128"/>
    </w:p>
    <w:p w14:paraId="0AA846A9" w14:textId="77777777" w:rsidR="00AB4227" w:rsidRDefault="0048172D">
      <w:pPr>
        <w:pStyle w:val="aff0"/>
        <w:adjustRightInd w:val="0"/>
        <w:snapToGrid w:val="0"/>
        <w:outlineLvl w:val="1"/>
      </w:pPr>
      <w:bookmarkStart w:id="129" w:name="_Toc16083"/>
      <w:bookmarkStart w:id="130" w:name="_Toc28662"/>
      <w:r>
        <w:t xml:space="preserve">8.2 </w:t>
      </w:r>
      <w:r>
        <w:rPr>
          <w:b w:val="0"/>
          <w:bCs w:val="0"/>
        </w:rPr>
        <w:t>在生物反硝化池进出口、好氧池出口等关键部位安装在线监测仪，实时监测硝酸盐氮、溶解氧等关键参数，数据传输至中控室。</w:t>
      </w:r>
      <w:bookmarkEnd w:id="129"/>
      <w:bookmarkEnd w:id="130"/>
    </w:p>
    <w:p w14:paraId="74AB7910" w14:textId="77777777" w:rsidR="00AB4227" w:rsidRDefault="0048172D">
      <w:pPr>
        <w:pStyle w:val="aff0"/>
        <w:adjustRightInd w:val="0"/>
        <w:snapToGrid w:val="0"/>
        <w:outlineLvl w:val="1"/>
      </w:pPr>
      <w:bookmarkStart w:id="131" w:name="_Toc10872"/>
      <w:bookmarkStart w:id="132" w:name="_Toc10738"/>
      <w:r>
        <w:t xml:space="preserve">8.3 </w:t>
      </w:r>
      <w:r>
        <w:rPr>
          <w:b w:val="0"/>
          <w:bCs w:val="0"/>
        </w:rPr>
        <w:t>严格按照《生活饮用水卫生标准》，每日</w:t>
      </w:r>
      <w:r>
        <w:rPr>
          <w:rFonts w:hint="eastAsia"/>
          <w:b w:val="0"/>
          <w:bCs w:val="0"/>
        </w:rPr>
        <w:t>检测</w:t>
      </w:r>
      <w:r>
        <w:rPr>
          <w:b w:val="0"/>
          <w:bCs w:val="0"/>
        </w:rPr>
        <w:t>硝酸盐氮、亚硝酸盐氮、</w:t>
      </w:r>
      <w:r>
        <w:rPr>
          <w:rFonts w:hint="eastAsia"/>
          <w:b w:val="0"/>
          <w:bCs w:val="0"/>
        </w:rPr>
        <w:t>浊度</w:t>
      </w:r>
      <w:r>
        <w:rPr>
          <w:rFonts w:hint="eastAsia"/>
          <w:b w:val="0"/>
          <w:bCs w:val="0"/>
        </w:rPr>
        <w:t>、</w:t>
      </w:r>
      <w:r>
        <w:rPr>
          <w:rFonts w:hint="eastAsia"/>
          <w:b w:val="0"/>
          <w:bCs w:val="0"/>
        </w:rPr>
        <w:t>pH</w:t>
      </w:r>
      <w:r>
        <w:rPr>
          <w:rFonts w:hint="eastAsia"/>
          <w:b w:val="0"/>
          <w:bCs w:val="0"/>
        </w:rPr>
        <w:t>、消毒剂余量及</w:t>
      </w:r>
      <w:r>
        <w:rPr>
          <w:b w:val="0"/>
          <w:bCs w:val="0"/>
        </w:rPr>
        <w:t>微生物指标。</w:t>
      </w:r>
      <w:bookmarkEnd w:id="131"/>
      <w:bookmarkEnd w:id="132"/>
    </w:p>
    <w:p w14:paraId="71505970" w14:textId="77777777" w:rsidR="00AB4227" w:rsidRDefault="0048172D">
      <w:pPr>
        <w:pStyle w:val="aff0"/>
        <w:adjustRightInd w:val="0"/>
        <w:snapToGrid w:val="0"/>
      </w:pPr>
      <w:bookmarkStart w:id="133" w:name="_Toc186791768"/>
      <w:r>
        <w:lastRenderedPageBreak/>
        <w:t xml:space="preserve">8.4 </w:t>
      </w:r>
      <w:r>
        <w:rPr>
          <w:b w:val="0"/>
          <w:bCs w:val="0"/>
        </w:rPr>
        <w:t>监测点</w:t>
      </w:r>
      <w:bookmarkEnd w:id="133"/>
      <w:r>
        <w:rPr>
          <w:rFonts w:hint="eastAsia"/>
          <w:b w:val="0"/>
          <w:bCs w:val="0"/>
        </w:rPr>
        <w:t>宜设置在进水口、</w:t>
      </w:r>
      <w:r>
        <w:rPr>
          <w:b w:val="0"/>
          <w:bCs w:val="0"/>
        </w:rPr>
        <w:t>生物处理各单元进出口</w:t>
      </w:r>
      <w:r>
        <w:rPr>
          <w:rFonts w:hint="eastAsia"/>
          <w:b w:val="0"/>
          <w:bCs w:val="0"/>
        </w:rPr>
        <w:t>。</w:t>
      </w:r>
    </w:p>
    <w:p w14:paraId="32841CFE" w14:textId="77777777" w:rsidR="00AB4227" w:rsidRDefault="0048172D">
      <w:pPr>
        <w:adjustRightInd w:val="0"/>
        <w:snapToGrid w:val="0"/>
        <w:spacing w:line="360" w:lineRule="auto"/>
        <w:outlineLvl w:val="0"/>
        <w:rPr>
          <w:rFonts w:cs="Times New Roman"/>
          <w:szCs w:val="21"/>
        </w:rPr>
      </w:pPr>
      <w:bookmarkStart w:id="134" w:name="_Toc28934"/>
      <w:bookmarkStart w:id="135" w:name="_Toc186791772"/>
      <w:r>
        <w:rPr>
          <w:rFonts w:cs="Times New Roman"/>
          <w:b/>
          <w:bCs/>
          <w:szCs w:val="21"/>
        </w:rPr>
        <w:t xml:space="preserve">9 </w:t>
      </w:r>
      <w:r>
        <w:rPr>
          <w:rFonts w:cs="Times New Roman"/>
          <w:b/>
          <w:bCs/>
          <w:szCs w:val="21"/>
        </w:rPr>
        <w:t>质量控制</w:t>
      </w:r>
      <w:bookmarkEnd w:id="134"/>
    </w:p>
    <w:p w14:paraId="11590721" w14:textId="77777777" w:rsidR="00AB4227" w:rsidRDefault="0048172D">
      <w:pPr>
        <w:pStyle w:val="aff2"/>
        <w:adjustRightInd w:val="0"/>
        <w:snapToGrid w:val="0"/>
      </w:pPr>
      <w:bookmarkStart w:id="136" w:name="_Toc32595"/>
      <w:bookmarkStart w:id="137" w:name="_Toc29090"/>
      <w:r>
        <w:t xml:space="preserve">9.1 </w:t>
      </w:r>
      <w:r>
        <w:rPr>
          <w:b w:val="0"/>
          <w:bCs w:val="0"/>
        </w:rPr>
        <w:t>微生物质量控制</w:t>
      </w:r>
      <w:bookmarkEnd w:id="135"/>
      <w:bookmarkEnd w:id="136"/>
      <w:bookmarkEnd w:id="137"/>
    </w:p>
    <w:p w14:paraId="1F734213" w14:textId="77777777" w:rsidR="00AB4227" w:rsidRDefault="0048172D">
      <w:pPr>
        <w:pStyle w:val="aff0"/>
        <w:adjustRightInd w:val="0"/>
        <w:snapToGrid w:val="0"/>
      </w:pPr>
      <w:r>
        <w:t xml:space="preserve">9.1.1 </w:t>
      </w:r>
      <w:r>
        <w:rPr>
          <w:b w:val="0"/>
          <w:bCs w:val="0"/>
        </w:rPr>
        <w:t>选择具有高效反硝化能力、适应处理水质和环境条件的微生物菌种。对菌种进行定期的筛选、鉴定和复壮，确保其活性和稳定性。同时，采用适宜的保存方法，如低温保存、冻干保存等，防止菌种退化和变异。</w:t>
      </w:r>
    </w:p>
    <w:p w14:paraId="23BA9883" w14:textId="77777777" w:rsidR="00AB4227" w:rsidRDefault="0048172D">
      <w:pPr>
        <w:pStyle w:val="aff0"/>
        <w:adjustRightInd w:val="0"/>
        <w:snapToGrid w:val="0"/>
      </w:pPr>
      <w:r>
        <w:t xml:space="preserve">9.1.2 </w:t>
      </w:r>
      <w:r>
        <w:rPr>
          <w:b w:val="0"/>
          <w:bCs w:val="0"/>
        </w:rPr>
        <w:t>定期对处理系统中的微生物数量进行监测，包括反硝化细菌、硝化细菌等关键微生物的数量。可采用平板计数法、</w:t>
      </w:r>
      <w:r>
        <w:rPr>
          <w:b w:val="0"/>
          <w:bCs w:val="0"/>
        </w:rPr>
        <w:t>MPN</w:t>
      </w:r>
      <w:r>
        <w:rPr>
          <w:b w:val="0"/>
          <w:bCs w:val="0"/>
        </w:rPr>
        <w:t>法等方法进行检测，确保微生物数量维持在有效处理所需的水平。</w:t>
      </w:r>
    </w:p>
    <w:p w14:paraId="4879A99D" w14:textId="77777777" w:rsidR="00AB4227" w:rsidRDefault="0048172D">
      <w:pPr>
        <w:pStyle w:val="aff0"/>
        <w:adjustRightInd w:val="0"/>
        <w:snapToGrid w:val="0"/>
      </w:pPr>
      <w:r>
        <w:t>9.1.3</w:t>
      </w:r>
      <w:r>
        <w:t xml:space="preserve"> </w:t>
      </w:r>
      <w:r>
        <w:rPr>
          <w:b w:val="0"/>
          <w:bCs w:val="0"/>
        </w:rPr>
        <w:t>通过检测微生物的代谢活性来评估其处理能力，如测定反硝化酶的活性、硝化速率等。及时发现微生物活性下降的情况，并采取相应的措施，如调整营养物质投加量、改善处理环境等。</w:t>
      </w:r>
    </w:p>
    <w:p w14:paraId="7E6CC592" w14:textId="77777777" w:rsidR="00AB4227" w:rsidRDefault="0048172D">
      <w:pPr>
        <w:pStyle w:val="aff0"/>
        <w:adjustRightInd w:val="0"/>
        <w:snapToGrid w:val="0"/>
      </w:pPr>
      <w:r>
        <w:t xml:space="preserve">9.1.4 </w:t>
      </w:r>
      <w:r>
        <w:rPr>
          <w:rFonts w:hint="eastAsia"/>
          <w:b w:val="0"/>
          <w:bCs w:val="0"/>
        </w:rPr>
        <w:t>维持适宜的运行条件</w:t>
      </w:r>
      <w:r>
        <w:rPr>
          <w:rFonts w:hint="eastAsia"/>
          <w:b w:val="0"/>
          <w:bCs w:val="0"/>
        </w:rPr>
        <w:t>，</w:t>
      </w:r>
      <w:r>
        <w:rPr>
          <w:rFonts w:hint="eastAsia"/>
          <w:b w:val="0"/>
          <w:bCs w:val="0"/>
        </w:rPr>
        <w:t>定期监测微生物数量与活性。当监测发现活性持续显著下降且通过调整运行参数无法恢复时，补充接种活性良好的功能菌剂。</w:t>
      </w:r>
    </w:p>
    <w:p w14:paraId="2DE47491" w14:textId="77777777" w:rsidR="00AB4227" w:rsidRDefault="0048172D">
      <w:pPr>
        <w:pStyle w:val="aff2"/>
        <w:adjustRightInd w:val="0"/>
        <w:snapToGrid w:val="0"/>
      </w:pPr>
      <w:bookmarkStart w:id="138" w:name="_Toc186791773"/>
      <w:bookmarkStart w:id="139" w:name="_Toc19866"/>
      <w:bookmarkStart w:id="140" w:name="_Toc3962"/>
      <w:r>
        <w:t xml:space="preserve">9.2 </w:t>
      </w:r>
      <w:r>
        <w:rPr>
          <w:b w:val="0"/>
          <w:bCs w:val="0"/>
        </w:rPr>
        <w:t>水质质量控制</w:t>
      </w:r>
      <w:bookmarkEnd w:id="138"/>
      <w:bookmarkEnd w:id="139"/>
      <w:bookmarkEnd w:id="140"/>
    </w:p>
    <w:p w14:paraId="3058A256" w14:textId="77777777" w:rsidR="00AB4227" w:rsidRDefault="0048172D">
      <w:pPr>
        <w:pStyle w:val="aff0"/>
        <w:adjustRightInd w:val="0"/>
        <w:snapToGrid w:val="0"/>
      </w:pPr>
      <w:r>
        <w:t xml:space="preserve">9.2.1 </w:t>
      </w:r>
      <w:r>
        <w:rPr>
          <w:b w:val="0"/>
          <w:bCs w:val="0"/>
        </w:rPr>
        <w:t>处理全过程严格控制各环节水质，防止二次污染，确保最终出水硝酸盐氮含量符合标准，其他各项指标也满足饮用水要求。</w:t>
      </w:r>
    </w:p>
    <w:p w14:paraId="535897E8" w14:textId="77777777" w:rsidR="00AB4227" w:rsidRDefault="0048172D">
      <w:pPr>
        <w:pStyle w:val="aff0"/>
        <w:adjustRightInd w:val="0"/>
        <w:snapToGrid w:val="0"/>
      </w:pPr>
      <w:r>
        <w:t xml:space="preserve">9.2.2 </w:t>
      </w:r>
      <w:r>
        <w:rPr>
          <w:b w:val="0"/>
          <w:bCs w:val="0"/>
        </w:rPr>
        <w:t>在原水进入处理系统之前，对硝酸盐含量、</w:t>
      </w:r>
      <w:r>
        <w:rPr>
          <w:b w:val="0"/>
          <w:bCs w:val="0"/>
        </w:rPr>
        <w:t>pH</w:t>
      </w:r>
      <w:r>
        <w:rPr>
          <w:b w:val="0"/>
          <w:bCs w:val="0"/>
        </w:rPr>
        <w:t>值、溶解氧、温度、有机物含量等指标进行全面监测。根据进水水质的变化，及时调整处理工艺参数，如生物反应池的停留时间、有机碳源的投加量等。</w:t>
      </w:r>
    </w:p>
    <w:p w14:paraId="08C870E2" w14:textId="77777777" w:rsidR="00AB4227" w:rsidRDefault="0048172D">
      <w:pPr>
        <w:pStyle w:val="aff0"/>
        <w:adjustRightInd w:val="0"/>
        <w:snapToGrid w:val="0"/>
      </w:pPr>
      <w:r>
        <w:t xml:space="preserve">9.2.3 </w:t>
      </w:r>
      <w:r>
        <w:rPr>
          <w:b w:val="0"/>
          <w:bCs w:val="0"/>
        </w:rPr>
        <w:t>在生物处理的各个环节，如缺氧区、好氧区等，设置监测点，实时监测水质的变化情况。重点监测硝酸盐氮、亚硝酸盐氮、氨氮、溶解氧、</w:t>
      </w:r>
      <w:r>
        <w:rPr>
          <w:b w:val="0"/>
          <w:bCs w:val="0"/>
        </w:rPr>
        <w:t>pH</w:t>
      </w:r>
      <w:r>
        <w:rPr>
          <w:b w:val="0"/>
          <w:bCs w:val="0"/>
        </w:rPr>
        <w:t>值等指标，确保处理过程按预期进行，及时发现并解决处理过程中出现的问题。</w:t>
      </w:r>
    </w:p>
    <w:p w14:paraId="0C9F3A2A" w14:textId="77777777" w:rsidR="00AB4227" w:rsidRDefault="0048172D">
      <w:pPr>
        <w:pStyle w:val="aff0"/>
        <w:adjustRightInd w:val="0"/>
        <w:snapToGrid w:val="0"/>
      </w:pPr>
      <w:r>
        <w:t>9</w:t>
      </w:r>
      <w:r>
        <w:t xml:space="preserve">.2.4 </w:t>
      </w:r>
      <w:r>
        <w:rPr>
          <w:b w:val="0"/>
          <w:bCs w:val="0"/>
        </w:rPr>
        <w:t>严格按照</w:t>
      </w:r>
      <w:r>
        <w:rPr>
          <w:b w:val="0"/>
          <w:bCs w:val="0"/>
        </w:rPr>
        <w:t>GB 5749</w:t>
      </w:r>
      <w:r>
        <w:rPr>
          <w:b w:val="0"/>
          <w:bCs w:val="0"/>
        </w:rPr>
        <w:t>等相关标准，对处理后的出水进行全面检测。除了硝酸盐氮等常规指标外，还需监测微生物指标、毒理指标等，确保出水水质安全达标。同时，建立出水水质的长期监测机制，定期对出水进行抽检和复查。</w:t>
      </w:r>
    </w:p>
    <w:p w14:paraId="5387093D" w14:textId="77777777" w:rsidR="00AB4227" w:rsidRDefault="0048172D">
      <w:pPr>
        <w:pStyle w:val="aff0"/>
        <w:adjustRightInd w:val="0"/>
        <w:snapToGrid w:val="0"/>
      </w:pPr>
      <w:r>
        <w:t xml:space="preserve">9.2.5 </w:t>
      </w:r>
      <w:r>
        <w:rPr>
          <w:b w:val="0"/>
          <w:bCs w:val="0"/>
        </w:rPr>
        <w:t>一旦水质超标，立即停止供水，排查原因并整改，直至水质达标。</w:t>
      </w:r>
    </w:p>
    <w:p w14:paraId="7E7A5AE6" w14:textId="77777777" w:rsidR="00AB4227" w:rsidRDefault="0048172D">
      <w:pPr>
        <w:pStyle w:val="aff2"/>
        <w:adjustRightInd w:val="0"/>
        <w:snapToGrid w:val="0"/>
      </w:pPr>
      <w:bookmarkStart w:id="141" w:name="_Toc186791774"/>
      <w:bookmarkStart w:id="142" w:name="_Toc23036"/>
      <w:bookmarkStart w:id="143" w:name="_Toc13147"/>
      <w:r>
        <w:t xml:space="preserve">9.3 </w:t>
      </w:r>
      <w:r>
        <w:rPr>
          <w:b w:val="0"/>
          <w:bCs w:val="0"/>
        </w:rPr>
        <w:t>运行参数质量控制</w:t>
      </w:r>
      <w:bookmarkEnd w:id="141"/>
      <w:bookmarkEnd w:id="142"/>
      <w:bookmarkEnd w:id="143"/>
    </w:p>
    <w:p w14:paraId="36FE1F6B" w14:textId="77777777" w:rsidR="00AB4227" w:rsidRDefault="0048172D">
      <w:pPr>
        <w:pStyle w:val="aff0"/>
        <w:adjustRightInd w:val="0"/>
        <w:snapToGrid w:val="0"/>
      </w:pPr>
      <w:r>
        <w:t xml:space="preserve">9.3.1 </w:t>
      </w:r>
      <w:r>
        <w:rPr>
          <w:b w:val="0"/>
          <w:bCs w:val="0"/>
        </w:rPr>
        <w:t>根据进水硝酸盐含量和微生物的需求，精确控制有机碳源的投加量。避免有机碳源投加不足导致反硝化不完全，或投加过量造成出水有机物超标和处理成本增加。可通过在线监测设备实时监测水质变化，结合处理效果反馈，调整有机碳源的投加策略。</w:t>
      </w:r>
    </w:p>
    <w:p w14:paraId="4E081B12" w14:textId="77777777" w:rsidR="00AB4227" w:rsidRDefault="0048172D">
      <w:pPr>
        <w:pStyle w:val="aff0"/>
        <w:adjustRightInd w:val="0"/>
        <w:snapToGrid w:val="0"/>
      </w:pPr>
      <w:r>
        <w:t xml:space="preserve">9.3.2 </w:t>
      </w:r>
      <w:r>
        <w:rPr>
          <w:b w:val="0"/>
          <w:bCs w:val="0"/>
        </w:rPr>
        <w:t>合理确定生物反应池的水力停留时间，并通过流量控制等手段确保实际运行中的水力停留时间符合设计要求。水力停留时间过短可能导致反硝化反应不充分，过长则可能导致处理成本的增加和占地面积的增大。</w:t>
      </w:r>
    </w:p>
    <w:p w14:paraId="28035B28" w14:textId="77777777" w:rsidR="00AB4227" w:rsidRDefault="0048172D">
      <w:pPr>
        <w:pStyle w:val="aff0"/>
        <w:adjustRightInd w:val="0"/>
        <w:snapToGrid w:val="0"/>
      </w:pPr>
      <w:r>
        <w:lastRenderedPageBreak/>
        <w:t xml:space="preserve">9.3.3 </w:t>
      </w:r>
      <w:r>
        <w:rPr>
          <w:b w:val="0"/>
          <w:bCs w:val="0"/>
        </w:rPr>
        <w:t>在生物法处理过程中，严格控制好氧区和缺氧区的溶解氧浓度。通过曝气设备的调节、水流</w:t>
      </w:r>
      <w:r>
        <w:rPr>
          <w:b w:val="0"/>
          <w:bCs w:val="0"/>
        </w:rPr>
        <w:t>控制等措施，确保好氧区溶解氧充足，以满足硝化反应的需要；缺氧区溶解氧浓度低于</w:t>
      </w:r>
      <w:r>
        <w:rPr>
          <w:b w:val="0"/>
          <w:bCs w:val="0"/>
        </w:rPr>
        <w:t>0.5</w:t>
      </w:r>
      <w:r>
        <w:rPr>
          <w:rFonts w:hint="eastAsia"/>
          <w:b w:val="0"/>
          <w:bCs w:val="0"/>
        </w:rPr>
        <w:t xml:space="preserve"> </w:t>
      </w:r>
      <w:r>
        <w:rPr>
          <w:b w:val="0"/>
          <w:bCs w:val="0"/>
        </w:rPr>
        <w:t>mg/L</w:t>
      </w:r>
      <w:r>
        <w:rPr>
          <w:b w:val="0"/>
          <w:bCs w:val="0"/>
        </w:rPr>
        <w:t>，为反硝化反应创造适宜的环境。</w:t>
      </w:r>
    </w:p>
    <w:p w14:paraId="23CCCA4D" w14:textId="77777777" w:rsidR="00AB4227" w:rsidRDefault="0048172D">
      <w:pPr>
        <w:pStyle w:val="aff2"/>
        <w:adjustRightInd w:val="0"/>
        <w:snapToGrid w:val="0"/>
      </w:pPr>
      <w:bookmarkStart w:id="144" w:name="_Toc186791775"/>
      <w:bookmarkStart w:id="145" w:name="_Toc8036"/>
      <w:bookmarkStart w:id="146" w:name="_Toc31272"/>
      <w:r>
        <w:t xml:space="preserve">9.4 </w:t>
      </w:r>
      <w:r>
        <w:rPr>
          <w:b w:val="0"/>
          <w:bCs w:val="0"/>
        </w:rPr>
        <w:t>设备与设施质量控制</w:t>
      </w:r>
      <w:bookmarkEnd w:id="144"/>
      <w:bookmarkEnd w:id="145"/>
      <w:bookmarkEnd w:id="146"/>
    </w:p>
    <w:p w14:paraId="0279AB5E" w14:textId="77777777" w:rsidR="00AB4227" w:rsidRDefault="0048172D">
      <w:pPr>
        <w:pStyle w:val="aff0"/>
        <w:adjustRightInd w:val="0"/>
        <w:snapToGrid w:val="0"/>
      </w:pPr>
      <w:r>
        <w:t xml:space="preserve">9.4.1 </w:t>
      </w:r>
      <w:r>
        <w:rPr>
          <w:b w:val="0"/>
          <w:bCs w:val="0"/>
        </w:rPr>
        <w:t>定期校准流量、溶解氧等监测仪表，误差控制在</w:t>
      </w:r>
      <w:r>
        <w:rPr>
          <w:b w:val="0"/>
          <w:bCs w:val="0"/>
        </w:rPr>
        <w:t>±5%</w:t>
      </w:r>
      <w:r>
        <w:rPr>
          <w:b w:val="0"/>
          <w:bCs w:val="0"/>
        </w:rPr>
        <w:t>以内，依据准确数据调整运行参数。</w:t>
      </w:r>
    </w:p>
    <w:p w14:paraId="10AFDBE4" w14:textId="77777777" w:rsidR="00AB4227" w:rsidRDefault="0048172D">
      <w:pPr>
        <w:pStyle w:val="aff0"/>
        <w:adjustRightInd w:val="0"/>
        <w:snapToGrid w:val="0"/>
      </w:pPr>
      <w:r>
        <w:t xml:space="preserve">9.4.2 </w:t>
      </w:r>
      <w:r>
        <w:rPr>
          <w:b w:val="0"/>
          <w:bCs w:val="0"/>
        </w:rPr>
        <w:t>定期对生物处理系统中的设备进行维护和保养，如曝气设备、搅拌设备、泵等。检查设备的运行状况，及时更换磨损的部件，确保设备正常运行，避免因设备故障影响处理效果和水质。</w:t>
      </w:r>
    </w:p>
    <w:p w14:paraId="459369C9" w14:textId="77777777" w:rsidR="00AB4227" w:rsidRDefault="0048172D">
      <w:pPr>
        <w:pStyle w:val="aff0"/>
        <w:adjustRightInd w:val="0"/>
        <w:snapToGrid w:val="0"/>
      </w:pPr>
      <w:r>
        <w:t xml:space="preserve">9.4.3 </w:t>
      </w:r>
      <w:r>
        <w:rPr>
          <w:b w:val="0"/>
          <w:bCs w:val="0"/>
        </w:rPr>
        <w:t>定期对生物反应池、管道、阀门等设施进行检查，确保设施的完整性和密封性。防止因设</w:t>
      </w:r>
      <w:r>
        <w:rPr>
          <w:b w:val="0"/>
          <w:bCs w:val="0"/>
        </w:rPr>
        <w:t>施泄漏、破裂等问题导致水质污染以及处理效果下降。</w:t>
      </w:r>
    </w:p>
    <w:p w14:paraId="434E1817" w14:textId="77777777" w:rsidR="00AB4227" w:rsidRDefault="0048172D">
      <w:pPr>
        <w:pStyle w:val="aff0"/>
        <w:adjustRightInd w:val="0"/>
        <w:snapToGrid w:val="0"/>
      </w:pPr>
      <w:r>
        <w:t xml:space="preserve">9.4.4 </w:t>
      </w:r>
      <w:r>
        <w:rPr>
          <w:b w:val="0"/>
          <w:bCs w:val="0"/>
        </w:rPr>
        <w:t>使用的所有药剂、滤料、填料等均符合相关国家标准，妥善储存，有质量追溯体系。</w:t>
      </w:r>
    </w:p>
    <w:p w14:paraId="25FEFC8E" w14:textId="77777777" w:rsidR="00AB4227" w:rsidRDefault="0048172D">
      <w:pPr>
        <w:pStyle w:val="aff0"/>
        <w:adjustRightInd w:val="0"/>
        <w:snapToGrid w:val="0"/>
      </w:pPr>
      <w:r>
        <w:t xml:space="preserve">9.4.5 </w:t>
      </w:r>
      <w:r>
        <w:rPr>
          <w:b w:val="0"/>
          <w:bCs w:val="0"/>
        </w:rPr>
        <w:t>操作人员定期培训，熟悉工艺原理、设备操作与维护；完整记录运行数据、水质监测结果、设备维修情况，便于追溯与工艺优化。</w:t>
      </w:r>
    </w:p>
    <w:p w14:paraId="422B9107" w14:textId="77777777" w:rsidR="00AB4227" w:rsidRDefault="0048172D">
      <w:pPr>
        <w:pStyle w:val="aff0"/>
        <w:adjustRightInd w:val="0"/>
        <w:snapToGrid w:val="0"/>
      </w:pPr>
      <w:r>
        <w:t>9.4.6</w:t>
      </w:r>
      <w:r>
        <w:rPr>
          <w:rFonts w:hint="eastAsia"/>
        </w:rPr>
        <w:t xml:space="preserve"> </w:t>
      </w:r>
      <w:r>
        <w:rPr>
          <w:b w:val="0"/>
          <w:bCs w:val="0"/>
        </w:rPr>
        <w:t>详细记录运行数据、监测结果等，纸质记录保存</w:t>
      </w:r>
      <w:r>
        <w:rPr>
          <w:b w:val="0"/>
          <w:bCs w:val="0"/>
        </w:rPr>
        <w:t>3</w:t>
      </w:r>
      <w:r>
        <w:rPr>
          <w:b w:val="0"/>
          <w:bCs w:val="0"/>
        </w:rPr>
        <w:t>年以上，</w:t>
      </w:r>
      <w:r>
        <w:rPr>
          <w:rFonts w:hint="eastAsia"/>
          <w:b w:val="0"/>
          <w:bCs w:val="0"/>
        </w:rPr>
        <w:t>电子记录应长期保存，具体保存期限应符合相关档案管理规定</w:t>
      </w:r>
      <w:r>
        <w:rPr>
          <w:b w:val="0"/>
          <w:bCs w:val="0"/>
        </w:rPr>
        <w:t>。</w:t>
      </w:r>
    </w:p>
    <w:p w14:paraId="1C679149" w14:textId="77777777" w:rsidR="00AB4227" w:rsidRDefault="0048172D">
      <w:pPr>
        <w:pStyle w:val="aff0"/>
        <w:adjustRightInd w:val="0"/>
        <w:snapToGrid w:val="0"/>
      </w:pPr>
      <w:r>
        <w:t xml:space="preserve">9.4.7 </w:t>
      </w:r>
      <w:r>
        <w:rPr>
          <w:b w:val="0"/>
          <w:bCs w:val="0"/>
        </w:rPr>
        <w:t>每月向主管部门提交处理系统运行报告，内容涵盖水质达标情况、设备运行状况等。</w:t>
      </w:r>
    </w:p>
    <w:p w14:paraId="4C3D6BE5" w14:textId="77777777" w:rsidR="00AB4227" w:rsidRDefault="0048172D">
      <w:pPr>
        <w:adjustRightInd w:val="0"/>
        <w:snapToGrid w:val="0"/>
        <w:spacing w:line="360" w:lineRule="auto"/>
        <w:rPr>
          <w:rFonts w:cs="Times New Roman"/>
        </w:rPr>
      </w:pPr>
      <w:r>
        <w:rPr>
          <w:rFonts w:cs="Times New Roman"/>
        </w:rPr>
        <w:br w:type="page"/>
      </w:r>
    </w:p>
    <w:p w14:paraId="6B6109E1" w14:textId="77777777" w:rsidR="00AB4227" w:rsidRDefault="0048172D">
      <w:pPr>
        <w:pageBreakBefore/>
        <w:adjustRightInd w:val="0"/>
        <w:snapToGrid w:val="0"/>
        <w:spacing w:line="360" w:lineRule="auto"/>
        <w:jc w:val="center"/>
        <w:outlineLvl w:val="0"/>
        <w:rPr>
          <w:rFonts w:cs="Times New Roman"/>
          <w:b/>
          <w:sz w:val="32"/>
          <w:szCs w:val="32"/>
        </w:rPr>
      </w:pPr>
      <w:bookmarkStart w:id="147" w:name="_Toc6223"/>
      <w:bookmarkStart w:id="148" w:name="_Toc23071"/>
      <w:bookmarkStart w:id="149" w:name="_Toc438733390"/>
      <w:bookmarkStart w:id="150" w:name="_Toc46764826"/>
      <w:bookmarkStart w:id="151" w:name="_Toc20069"/>
      <w:r>
        <w:rPr>
          <w:rFonts w:cs="Times New Roman"/>
          <w:b/>
          <w:sz w:val="32"/>
          <w:szCs w:val="32"/>
        </w:rPr>
        <w:lastRenderedPageBreak/>
        <w:t>本文件用词说明</w:t>
      </w:r>
      <w:bookmarkEnd w:id="147"/>
      <w:bookmarkEnd w:id="148"/>
      <w:bookmarkEnd w:id="149"/>
      <w:bookmarkEnd w:id="150"/>
      <w:bookmarkEnd w:id="151"/>
    </w:p>
    <w:p w14:paraId="04C4E6D7" w14:textId="77777777" w:rsidR="00AB4227" w:rsidRDefault="0048172D">
      <w:pPr>
        <w:adjustRightInd w:val="0"/>
        <w:snapToGrid w:val="0"/>
        <w:spacing w:line="360" w:lineRule="auto"/>
        <w:rPr>
          <w:rFonts w:cs="Times New Roman"/>
          <w:szCs w:val="21"/>
        </w:rPr>
      </w:pPr>
      <w:r>
        <w:rPr>
          <w:rFonts w:cs="Times New Roman"/>
          <w:szCs w:val="21"/>
        </w:rPr>
        <w:t xml:space="preserve">1 </w:t>
      </w:r>
      <w:r>
        <w:rPr>
          <w:rFonts w:cs="Times New Roman"/>
          <w:szCs w:val="21"/>
        </w:rPr>
        <w:t>为便于在执行</w:t>
      </w:r>
      <w:r>
        <w:rPr>
          <w:rFonts w:cs="Times New Roman"/>
          <w:szCs w:val="21"/>
        </w:rPr>
        <w:t>本文件条文时区别对待，对要求严格程度不同的用词说明如下：</w:t>
      </w:r>
    </w:p>
    <w:p w14:paraId="10D88161" w14:textId="77777777" w:rsidR="00AB4227" w:rsidRDefault="0048172D">
      <w:pPr>
        <w:adjustRightInd w:val="0"/>
        <w:snapToGrid w:val="0"/>
        <w:spacing w:line="360" w:lineRule="auto"/>
        <w:ind w:firstLineChars="200" w:firstLine="420"/>
        <w:rPr>
          <w:rFonts w:cs="Times New Roman"/>
          <w:szCs w:val="21"/>
        </w:rPr>
      </w:pPr>
      <w:r>
        <w:rPr>
          <w:rFonts w:cs="Times New Roman"/>
          <w:szCs w:val="21"/>
        </w:rPr>
        <w:t>1</w:t>
      </w:r>
      <w:r>
        <w:rPr>
          <w:rFonts w:cs="Times New Roman"/>
          <w:szCs w:val="21"/>
        </w:rPr>
        <w:t>）表示很严格，非这样做不可的：</w:t>
      </w:r>
    </w:p>
    <w:p w14:paraId="5CE80D59" w14:textId="77777777" w:rsidR="00AB4227" w:rsidRDefault="0048172D">
      <w:pPr>
        <w:adjustRightInd w:val="0"/>
        <w:snapToGrid w:val="0"/>
        <w:spacing w:line="360" w:lineRule="auto"/>
        <w:ind w:firstLineChars="400" w:firstLine="840"/>
        <w:rPr>
          <w:rFonts w:cs="Times New Roman"/>
          <w:szCs w:val="21"/>
        </w:rPr>
      </w:pPr>
      <w:r>
        <w:rPr>
          <w:rFonts w:cs="Times New Roman"/>
          <w:szCs w:val="21"/>
        </w:rPr>
        <w:t>正面词采用</w:t>
      </w:r>
      <w:r>
        <w:rPr>
          <w:rFonts w:asciiTheme="minorEastAsia" w:eastAsiaTheme="minorEastAsia" w:hAnsiTheme="minorEastAsia" w:cs="Times New Roman"/>
          <w:szCs w:val="21"/>
        </w:rPr>
        <w:t>“</w:t>
      </w:r>
      <w:r>
        <w:rPr>
          <w:rFonts w:cs="Times New Roman"/>
          <w:szCs w:val="21"/>
        </w:rPr>
        <w:t>必须</w:t>
      </w:r>
      <w:r>
        <w:rPr>
          <w:rFonts w:asciiTheme="minorEastAsia" w:eastAsiaTheme="minorEastAsia" w:hAnsiTheme="minorEastAsia" w:cs="Times New Roman"/>
          <w:szCs w:val="21"/>
        </w:rPr>
        <w:t>”</w:t>
      </w:r>
      <w:r>
        <w:rPr>
          <w:rFonts w:cs="Times New Roman"/>
          <w:szCs w:val="21"/>
        </w:rPr>
        <w:t>，反面词采用</w:t>
      </w:r>
      <w:r>
        <w:rPr>
          <w:rFonts w:asciiTheme="minorEastAsia" w:eastAsiaTheme="minorEastAsia" w:hAnsiTheme="minorEastAsia" w:cs="Times New Roman"/>
          <w:szCs w:val="21"/>
        </w:rPr>
        <w:t>“</w:t>
      </w:r>
      <w:r>
        <w:rPr>
          <w:rFonts w:cs="Times New Roman"/>
          <w:szCs w:val="21"/>
        </w:rPr>
        <w:t>严禁</w:t>
      </w:r>
      <w:r>
        <w:rPr>
          <w:rFonts w:asciiTheme="minorEastAsia" w:eastAsiaTheme="minorEastAsia" w:hAnsiTheme="minorEastAsia" w:cs="Times New Roman"/>
          <w:szCs w:val="21"/>
        </w:rPr>
        <w:t>”</w:t>
      </w:r>
      <w:r>
        <w:rPr>
          <w:rFonts w:cs="Times New Roman"/>
          <w:szCs w:val="21"/>
        </w:rPr>
        <w:t>；</w:t>
      </w:r>
    </w:p>
    <w:p w14:paraId="4D55087E" w14:textId="77777777" w:rsidR="00AB4227" w:rsidRDefault="0048172D">
      <w:pPr>
        <w:adjustRightInd w:val="0"/>
        <w:snapToGrid w:val="0"/>
        <w:spacing w:line="360" w:lineRule="auto"/>
        <w:ind w:firstLineChars="200" w:firstLine="420"/>
        <w:rPr>
          <w:rFonts w:cs="Times New Roman"/>
          <w:szCs w:val="21"/>
        </w:rPr>
      </w:pPr>
      <w:r>
        <w:rPr>
          <w:rFonts w:cs="Times New Roman"/>
          <w:szCs w:val="21"/>
        </w:rPr>
        <w:t>2</w:t>
      </w:r>
      <w:r>
        <w:rPr>
          <w:rFonts w:cs="Times New Roman"/>
          <w:szCs w:val="21"/>
        </w:rPr>
        <w:t>）表示严格，正常情况下都应该这样做的：</w:t>
      </w:r>
    </w:p>
    <w:p w14:paraId="52339899" w14:textId="77777777" w:rsidR="00AB4227" w:rsidRDefault="0048172D">
      <w:pPr>
        <w:adjustRightInd w:val="0"/>
        <w:snapToGrid w:val="0"/>
        <w:spacing w:line="360" w:lineRule="auto"/>
        <w:ind w:firstLineChars="400" w:firstLine="840"/>
        <w:rPr>
          <w:rFonts w:cs="Times New Roman"/>
          <w:szCs w:val="21"/>
        </w:rPr>
      </w:pPr>
      <w:r>
        <w:rPr>
          <w:rFonts w:cs="Times New Roman"/>
          <w:szCs w:val="21"/>
        </w:rPr>
        <w:t>正面词采用</w:t>
      </w:r>
      <w:r>
        <w:rPr>
          <w:rFonts w:asciiTheme="minorEastAsia" w:eastAsiaTheme="minorEastAsia" w:hAnsiTheme="minorEastAsia" w:cs="Times New Roman"/>
          <w:szCs w:val="21"/>
        </w:rPr>
        <w:t>“</w:t>
      </w:r>
      <w:r>
        <w:rPr>
          <w:rFonts w:cs="Times New Roman"/>
          <w:szCs w:val="21"/>
        </w:rPr>
        <w:t>应</w:t>
      </w:r>
      <w:r>
        <w:rPr>
          <w:rFonts w:asciiTheme="minorEastAsia" w:eastAsiaTheme="minorEastAsia" w:hAnsiTheme="minorEastAsia" w:cs="Times New Roman"/>
          <w:szCs w:val="21"/>
        </w:rPr>
        <w:t>”</w:t>
      </w:r>
      <w:r>
        <w:rPr>
          <w:rFonts w:cs="Times New Roman"/>
          <w:szCs w:val="21"/>
        </w:rPr>
        <w:t>，反面词采用</w:t>
      </w:r>
      <w:r>
        <w:rPr>
          <w:rFonts w:asciiTheme="minorEastAsia" w:eastAsiaTheme="minorEastAsia" w:hAnsiTheme="minorEastAsia" w:cs="Times New Roman"/>
          <w:szCs w:val="21"/>
        </w:rPr>
        <w:t>“</w:t>
      </w:r>
      <w:r>
        <w:rPr>
          <w:rFonts w:cs="Times New Roman"/>
          <w:szCs w:val="21"/>
        </w:rPr>
        <w:t>不应</w:t>
      </w:r>
      <w:r>
        <w:rPr>
          <w:rFonts w:asciiTheme="minorEastAsia" w:eastAsiaTheme="minorEastAsia" w:hAnsiTheme="minorEastAsia" w:cs="Times New Roman"/>
          <w:szCs w:val="21"/>
        </w:rPr>
        <w:t>”</w:t>
      </w:r>
      <w:r>
        <w:rPr>
          <w:rFonts w:cs="Times New Roman"/>
          <w:szCs w:val="21"/>
        </w:rPr>
        <w:t>或</w:t>
      </w:r>
      <w:r>
        <w:rPr>
          <w:rFonts w:asciiTheme="minorEastAsia" w:eastAsiaTheme="minorEastAsia" w:hAnsiTheme="minorEastAsia" w:cs="Times New Roman"/>
          <w:szCs w:val="21"/>
        </w:rPr>
        <w:t>“</w:t>
      </w:r>
      <w:r>
        <w:rPr>
          <w:rFonts w:cs="Times New Roman"/>
          <w:szCs w:val="21"/>
        </w:rPr>
        <w:t>不得</w:t>
      </w:r>
      <w:r>
        <w:rPr>
          <w:rFonts w:asciiTheme="minorEastAsia" w:eastAsiaTheme="minorEastAsia" w:hAnsiTheme="minorEastAsia" w:cs="Times New Roman"/>
          <w:szCs w:val="21"/>
        </w:rPr>
        <w:t>”</w:t>
      </w:r>
      <w:r>
        <w:rPr>
          <w:rFonts w:cs="Times New Roman"/>
          <w:szCs w:val="21"/>
        </w:rPr>
        <w:t>；</w:t>
      </w:r>
    </w:p>
    <w:p w14:paraId="207202B8" w14:textId="77777777" w:rsidR="00AB4227" w:rsidRDefault="0048172D">
      <w:pPr>
        <w:adjustRightInd w:val="0"/>
        <w:snapToGrid w:val="0"/>
        <w:spacing w:line="360" w:lineRule="auto"/>
        <w:ind w:firstLineChars="200" w:firstLine="420"/>
        <w:rPr>
          <w:rFonts w:cs="Times New Roman"/>
          <w:szCs w:val="21"/>
        </w:rPr>
      </w:pPr>
      <w:r>
        <w:rPr>
          <w:rFonts w:cs="Times New Roman"/>
          <w:szCs w:val="21"/>
        </w:rPr>
        <w:t>3</w:t>
      </w:r>
      <w:r>
        <w:rPr>
          <w:rFonts w:cs="Times New Roman"/>
          <w:szCs w:val="21"/>
        </w:rPr>
        <w:t>）表示允许稍有选择，在条件许可时首先应该这样做：</w:t>
      </w:r>
    </w:p>
    <w:p w14:paraId="50DF1E37" w14:textId="77777777" w:rsidR="00AB4227" w:rsidRDefault="0048172D">
      <w:pPr>
        <w:adjustRightInd w:val="0"/>
        <w:snapToGrid w:val="0"/>
        <w:spacing w:line="360" w:lineRule="auto"/>
        <w:ind w:firstLineChars="400" w:firstLine="840"/>
        <w:rPr>
          <w:rFonts w:cs="Times New Roman"/>
          <w:szCs w:val="21"/>
        </w:rPr>
      </w:pPr>
      <w:r>
        <w:rPr>
          <w:rFonts w:cs="Times New Roman"/>
          <w:szCs w:val="21"/>
        </w:rPr>
        <w:t>正面词采用</w:t>
      </w:r>
      <w:r>
        <w:rPr>
          <w:rFonts w:asciiTheme="minorEastAsia" w:eastAsiaTheme="minorEastAsia" w:hAnsiTheme="minorEastAsia" w:cs="Times New Roman"/>
          <w:szCs w:val="21"/>
        </w:rPr>
        <w:t>“</w:t>
      </w:r>
      <w:r>
        <w:rPr>
          <w:rFonts w:cs="Times New Roman"/>
          <w:szCs w:val="21"/>
        </w:rPr>
        <w:t>宜</w:t>
      </w:r>
      <w:r>
        <w:rPr>
          <w:rFonts w:asciiTheme="minorEastAsia" w:eastAsiaTheme="minorEastAsia" w:hAnsiTheme="minorEastAsia" w:cs="Times New Roman"/>
          <w:szCs w:val="21"/>
        </w:rPr>
        <w:t>”</w:t>
      </w:r>
      <w:r>
        <w:rPr>
          <w:rFonts w:cs="Times New Roman"/>
          <w:szCs w:val="21"/>
        </w:rPr>
        <w:t>，反面词采用</w:t>
      </w:r>
      <w:r>
        <w:rPr>
          <w:rFonts w:asciiTheme="minorEastAsia" w:eastAsiaTheme="minorEastAsia" w:hAnsiTheme="minorEastAsia" w:cs="Times New Roman"/>
          <w:szCs w:val="21"/>
        </w:rPr>
        <w:t>“</w:t>
      </w:r>
      <w:r>
        <w:rPr>
          <w:rFonts w:cs="Times New Roman"/>
          <w:szCs w:val="21"/>
        </w:rPr>
        <w:t>不宜</w:t>
      </w:r>
      <w:r>
        <w:rPr>
          <w:rFonts w:asciiTheme="minorEastAsia" w:eastAsiaTheme="minorEastAsia" w:hAnsiTheme="minorEastAsia" w:cs="Times New Roman"/>
          <w:szCs w:val="21"/>
        </w:rPr>
        <w:t>”</w:t>
      </w:r>
      <w:r>
        <w:rPr>
          <w:rFonts w:cs="Times New Roman"/>
          <w:szCs w:val="21"/>
        </w:rPr>
        <w:t>；</w:t>
      </w:r>
    </w:p>
    <w:p w14:paraId="1A9707DD" w14:textId="77777777" w:rsidR="00AB4227" w:rsidRDefault="0048172D">
      <w:pPr>
        <w:adjustRightInd w:val="0"/>
        <w:snapToGrid w:val="0"/>
        <w:spacing w:line="360" w:lineRule="auto"/>
        <w:ind w:firstLineChars="200" w:firstLine="420"/>
        <w:rPr>
          <w:rFonts w:cs="Times New Roman"/>
          <w:szCs w:val="21"/>
        </w:rPr>
      </w:pPr>
      <w:r>
        <w:rPr>
          <w:rFonts w:cs="Times New Roman"/>
          <w:szCs w:val="21"/>
        </w:rPr>
        <w:t>4</w:t>
      </w:r>
      <w:r>
        <w:rPr>
          <w:rFonts w:cs="Times New Roman"/>
          <w:szCs w:val="21"/>
        </w:rPr>
        <w:t>）表示有选择，在一定条件下可以这样做的，采用</w:t>
      </w:r>
      <w:r>
        <w:rPr>
          <w:rFonts w:asciiTheme="minorEastAsia" w:eastAsiaTheme="minorEastAsia" w:hAnsiTheme="minorEastAsia" w:cs="Times New Roman"/>
          <w:szCs w:val="21"/>
        </w:rPr>
        <w:t>“</w:t>
      </w:r>
      <w:r>
        <w:rPr>
          <w:rFonts w:cs="Times New Roman"/>
          <w:szCs w:val="21"/>
        </w:rPr>
        <w:t>可</w:t>
      </w:r>
      <w:r>
        <w:rPr>
          <w:rFonts w:asciiTheme="minorEastAsia" w:eastAsiaTheme="minorEastAsia" w:hAnsiTheme="minorEastAsia" w:cs="Times New Roman"/>
          <w:szCs w:val="21"/>
        </w:rPr>
        <w:t>”</w:t>
      </w:r>
      <w:r>
        <w:rPr>
          <w:rFonts w:asciiTheme="minorEastAsia" w:eastAsiaTheme="minorEastAsia" w:hAnsiTheme="minorEastAsia" w:cs="Times New Roman"/>
          <w:szCs w:val="21"/>
        </w:rPr>
        <w:t>。</w:t>
      </w:r>
      <w:r>
        <w:rPr>
          <w:rFonts w:cs="Times New Roman"/>
          <w:szCs w:val="21"/>
        </w:rPr>
        <w:t xml:space="preserve"> </w:t>
      </w:r>
    </w:p>
    <w:p w14:paraId="2F1561A2" w14:textId="77777777" w:rsidR="00AB4227" w:rsidRDefault="0048172D">
      <w:pPr>
        <w:pStyle w:val="a1"/>
        <w:adjustRightInd w:val="0"/>
        <w:snapToGrid w:val="0"/>
        <w:spacing w:line="360" w:lineRule="auto"/>
        <w:rPr>
          <w:rFonts w:eastAsia="宋体" w:cs="Times New Roman"/>
          <w:sz w:val="21"/>
          <w:szCs w:val="21"/>
        </w:rPr>
      </w:pPr>
      <w:r>
        <w:rPr>
          <w:rFonts w:eastAsia="宋体" w:cs="Times New Roman"/>
          <w:sz w:val="21"/>
          <w:szCs w:val="21"/>
        </w:rPr>
        <w:t xml:space="preserve">2 </w:t>
      </w:r>
      <w:r>
        <w:rPr>
          <w:rFonts w:eastAsia="宋体" w:cs="Times New Roman"/>
          <w:sz w:val="21"/>
          <w:szCs w:val="21"/>
        </w:rPr>
        <w:t>条文中指明应按其他有关标准执行时，写法为</w:t>
      </w:r>
      <w:r>
        <w:rPr>
          <w:rFonts w:asciiTheme="minorEastAsia" w:eastAsiaTheme="minorEastAsia" w:hAnsiTheme="minorEastAsia" w:cs="Times New Roman"/>
          <w:sz w:val="21"/>
          <w:szCs w:val="21"/>
        </w:rPr>
        <w:t>“</w:t>
      </w:r>
      <w:r>
        <w:rPr>
          <w:rFonts w:eastAsia="宋体" w:cs="Times New Roman"/>
          <w:sz w:val="21"/>
          <w:szCs w:val="21"/>
        </w:rPr>
        <w:t>应按</w:t>
      </w:r>
      <w:r>
        <w:rPr>
          <w:rFonts w:eastAsia="宋体" w:cs="Times New Roman"/>
          <w:sz w:val="21"/>
          <w:szCs w:val="21"/>
        </w:rPr>
        <w:t>……</w:t>
      </w:r>
      <w:r>
        <w:rPr>
          <w:rFonts w:eastAsia="宋体" w:cs="Times New Roman"/>
          <w:sz w:val="21"/>
          <w:szCs w:val="21"/>
        </w:rPr>
        <w:t>执行</w:t>
      </w:r>
      <w:r>
        <w:rPr>
          <w:rFonts w:asciiTheme="minorEastAsia" w:eastAsiaTheme="minorEastAsia" w:hAnsiTheme="minorEastAsia" w:cs="Times New Roman"/>
          <w:sz w:val="21"/>
          <w:szCs w:val="21"/>
        </w:rPr>
        <w:t>”</w:t>
      </w:r>
      <w:r>
        <w:rPr>
          <w:rFonts w:eastAsia="宋体" w:cs="Times New Roman"/>
          <w:sz w:val="21"/>
          <w:szCs w:val="21"/>
        </w:rPr>
        <w:t>或</w:t>
      </w:r>
      <w:r>
        <w:rPr>
          <w:rFonts w:asciiTheme="minorEastAsia" w:eastAsiaTheme="minorEastAsia" w:hAnsiTheme="minorEastAsia" w:cs="Times New Roman"/>
          <w:sz w:val="21"/>
          <w:szCs w:val="21"/>
        </w:rPr>
        <w:t>“</w:t>
      </w:r>
      <w:r>
        <w:rPr>
          <w:rFonts w:eastAsia="宋体" w:cs="Times New Roman"/>
          <w:sz w:val="21"/>
          <w:szCs w:val="21"/>
        </w:rPr>
        <w:t>应符合</w:t>
      </w:r>
      <w:r>
        <w:rPr>
          <w:rFonts w:eastAsia="宋体" w:cs="Times New Roman"/>
          <w:sz w:val="21"/>
          <w:szCs w:val="21"/>
        </w:rPr>
        <w:t>……</w:t>
      </w:r>
      <w:r>
        <w:rPr>
          <w:rFonts w:eastAsia="宋体" w:cs="Times New Roman"/>
          <w:sz w:val="21"/>
          <w:szCs w:val="21"/>
        </w:rPr>
        <w:t>的规定</w:t>
      </w:r>
      <w:r>
        <w:rPr>
          <w:rFonts w:asciiTheme="minorEastAsia" w:eastAsiaTheme="minorEastAsia" w:hAnsiTheme="minorEastAsia" w:cs="Times New Roman"/>
          <w:sz w:val="21"/>
          <w:szCs w:val="21"/>
        </w:rPr>
        <w:t>”</w:t>
      </w:r>
      <w:r>
        <w:rPr>
          <w:rFonts w:eastAsia="宋体" w:cs="Times New Roman"/>
          <w:sz w:val="21"/>
          <w:szCs w:val="21"/>
        </w:rPr>
        <w:t>。</w:t>
      </w:r>
    </w:p>
    <w:p w14:paraId="624F4E1B" w14:textId="77777777" w:rsidR="00AB4227" w:rsidRDefault="0048172D">
      <w:pPr>
        <w:rPr>
          <w:rFonts w:cs="Times New Roman"/>
          <w:szCs w:val="21"/>
        </w:rPr>
      </w:pPr>
      <w:r>
        <w:rPr>
          <w:rFonts w:cs="Times New Roman" w:hint="eastAsia"/>
          <w:szCs w:val="21"/>
        </w:rPr>
        <w:br w:type="page"/>
      </w:r>
    </w:p>
    <w:p w14:paraId="17743BE0" w14:textId="77777777" w:rsidR="00AB4227" w:rsidRDefault="0048172D">
      <w:pPr>
        <w:pageBreakBefore/>
        <w:adjustRightInd w:val="0"/>
        <w:snapToGrid w:val="0"/>
        <w:spacing w:line="360" w:lineRule="auto"/>
        <w:jc w:val="center"/>
        <w:outlineLvl w:val="0"/>
        <w:rPr>
          <w:rFonts w:cs="Times New Roman"/>
          <w:b/>
          <w:sz w:val="32"/>
          <w:szCs w:val="32"/>
        </w:rPr>
      </w:pPr>
      <w:bookmarkStart w:id="152" w:name="_Toc22518"/>
      <w:r>
        <w:rPr>
          <w:rFonts w:cs="Times New Roman" w:hint="eastAsia"/>
          <w:b/>
          <w:sz w:val="32"/>
          <w:szCs w:val="32"/>
        </w:rPr>
        <w:lastRenderedPageBreak/>
        <w:t>条文说明</w:t>
      </w:r>
      <w:bookmarkEnd w:id="152"/>
    </w:p>
    <w:p w14:paraId="6129C096"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1. </w:t>
      </w:r>
      <w:r>
        <w:rPr>
          <w:rFonts w:eastAsiaTheme="majorEastAsia" w:cs="宋体" w:hint="eastAsia"/>
          <w:sz w:val="21"/>
          <w:szCs w:val="21"/>
        </w:rPr>
        <w:t>范围</w:t>
      </w:r>
    </w:p>
    <w:p w14:paraId="19CE2DE2"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1.1</w:t>
      </w:r>
      <w:r>
        <w:rPr>
          <w:rFonts w:eastAsiaTheme="majorEastAsia" w:cs="宋体" w:hint="eastAsia"/>
          <w:sz w:val="21"/>
          <w:szCs w:val="21"/>
        </w:rPr>
        <w:t xml:space="preserve"> </w:t>
      </w:r>
      <w:r>
        <w:rPr>
          <w:rFonts w:eastAsiaTheme="majorEastAsia" w:cs="宋体" w:hint="eastAsia"/>
          <w:sz w:val="21"/>
          <w:szCs w:val="21"/>
        </w:rPr>
        <w:t>本条款明确规定了本文件的核心目标，即针对硝酸盐超标水的净化处理，运用生物法提供全面的技术指导，涵盖工艺设计、设备选型、运行管理、监测与控制等关键环节。其旨在确保经处理后的饮用水符合国家饮用水卫生标准中硝酸盐含量的严格要求。</w:t>
      </w:r>
    </w:p>
    <w:p w14:paraId="15C30674"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1.2</w:t>
      </w:r>
      <w:r>
        <w:rPr>
          <w:rFonts w:eastAsiaTheme="majorEastAsia" w:cs="宋体" w:hint="eastAsia"/>
          <w:sz w:val="21"/>
          <w:szCs w:val="21"/>
        </w:rPr>
        <w:t xml:space="preserve"> </w:t>
      </w:r>
      <w:r>
        <w:rPr>
          <w:rFonts w:eastAsiaTheme="majorEastAsia" w:cs="宋体" w:hint="eastAsia"/>
          <w:sz w:val="21"/>
          <w:szCs w:val="21"/>
        </w:rPr>
        <w:t>此条款进一步细化适用范围，聚焦于以硝酸盐超标地下水为原水，并采用异养生物法处理硝酸盐的水处理</w:t>
      </w:r>
      <w:r>
        <w:rPr>
          <w:rFonts w:eastAsiaTheme="majorEastAsia" w:cs="宋体" w:hint="eastAsia"/>
          <w:sz w:val="21"/>
          <w:szCs w:val="21"/>
        </w:rPr>
        <w:t>工程</w:t>
      </w:r>
      <w:r>
        <w:rPr>
          <w:rFonts w:eastAsiaTheme="majorEastAsia" w:cs="宋体" w:hint="eastAsia"/>
          <w:sz w:val="21"/>
          <w:szCs w:val="21"/>
        </w:rPr>
        <w:t>。地下水作为重要饮用水源，在某些地区易出现硝酸盐超标现象，而异养生物法在该领域应用广泛。通过对这类</w:t>
      </w:r>
      <w:r>
        <w:rPr>
          <w:rFonts w:eastAsiaTheme="majorEastAsia" w:cs="宋体" w:hint="eastAsia"/>
          <w:sz w:val="21"/>
          <w:szCs w:val="21"/>
        </w:rPr>
        <w:t>工程设计</w:t>
      </w:r>
      <w:r>
        <w:rPr>
          <w:rFonts w:eastAsiaTheme="majorEastAsia" w:cs="宋体" w:hint="eastAsia"/>
          <w:sz w:val="21"/>
          <w:szCs w:val="21"/>
        </w:rPr>
        <w:t>及运行的规范，确保在地下水处理过程中，设备性能可靠、运行稳定，有效去除硝酸盐，为地下水饮用水源的安全利用提供支撑。</w:t>
      </w:r>
    </w:p>
    <w:p w14:paraId="75DB5153"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3. </w:t>
      </w:r>
      <w:r>
        <w:rPr>
          <w:rFonts w:eastAsiaTheme="majorEastAsia" w:cs="宋体" w:hint="eastAsia"/>
          <w:sz w:val="21"/>
          <w:szCs w:val="21"/>
        </w:rPr>
        <w:t>术语和定义</w:t>
      </w:r>
    </w:p>
    <w:p w14:paraId="79CBDE67"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3.1</w:t>
      </w:r>
      <w:r>
        <w:rPr>
          <w:rFonts w:eastAsiaTheme="majorEastAsia" w:cs="宋体" w:hint="eastAsia"/>
          <w:sz w:val="21"/>
          <w:szCs w:val="21"/>
        </w:rPr>
        <w:t xml:space="preserve"> </w:t>
      </w:r>
      <w:r>
        <w:rPr>
          <w:rFonts w:eastAsiaTheme="majorEastAsia" w:cs="宋体" w:hint="eastAsia"/>
          <w:sz w:val="21"/>
          <w:szCs w:val="21"/>
        </w:rPr>
        <w:t>“硝酸盐超标地下水”的定义明确了本文件所针对的原水水质问题核心。以《生活饮用水卫生标准》</w:t>
      </w:r>
      <w:r>
        <w:rPr>
          <w:rFonts w:eastAsiaTheme="majorEastAsia" w:cs="宋体" w:hint="eastAsia"/>
          <w:sz w:val="21"/>
          <w:szCs w:val="21"/>
        </w:rPr>
        <w:t>GB 5749</w:t>
      </w:r>
      <w:r>
        <w:rPr>
          <w:rFonts w:eastAsiaTheme="majorEastAsia" w:cs="宋体" w:hint="eastAsia"/>
          <w:sz w:val="21"/>
          <w:szCs w:val="21"/>
        </w:rPr>
        <w:t>为依据，规定硝酸盐（以</w:t>
      </w:r>
      <w:r>
        <w:rPr>
          <w:rFonts w:eastAsiaTheme="majorEastAsia" w:cs="宋体" w:hint="eastAsia"/>
          <w:sz w:val="21"/>
          <w:szCs w:val="21"/>
        </w:rPr>
        <w:t>N</w:t>
      </w:r>
      <w:r>
        <w:rPr>
          <w:rFonts w:eastAsiaTheme="majorEastAsia" w:cs="宋体" w:hint="eastAsia"/>
          <w:sz w:val="21"/>
          <w:szCs w:val="21"/>
        </w:rPr>
        <w:t>计）含量超过</w:t>
      </w:r>
      <w:r>
        <w:rPr>
          <w:rFonts w:eastAsiaTheme="majorEastAsia" w:cs="宋体" w:hint="eastAsia"/>
          <w:sz w:val="21"/>
          <w:szCs w:val="21"/>
        </w:rPr>
        <w:t>10</w:t>
      </w:r>
      <w:r>
        <w:rPr>
          <w:rFonts w:eastAsiaTheme="majorEastAsia" w:cs="宋体" w:hint="eastAsia"/>
          <w:sz w:val="21"/>
          <w:szCs w:val="21"/>
        </w:rPr>
        <w:t xml:space="preserve"> </w:t>
      </w:r>
      <w:r>
        <w:rPr>
          <w:rFonts w:eastAsiaTheme="majorEastAsia" w:cs="宋体" w:hint="eastAsia"/>
          <w:sz w:val="21"/>
          <w:szCs w:val="21"/>
        </w:rPr>
        <w:t>mg/L</w:t>
      </w:r>
      <w:r>
        <w:rPr>
          <w:rFonts w:eastAsiaTheme="majorEastAsia" w:cs="宋体" w:hint="eastAsia"/>
          <w:sz w:val="21"/>
          <w:szCs w:val="21"/>
        </w:rPr>
        <w:t>的地下水为超标水。这一清晰界定为后续工艺选择、设计及处理效果评估提供了明确的水质基础，确保所有处理措施均针对该特</w:t>
      </w:r>
      <w:r>
        <w:rPr>
          <w:rFonts w:eastAsiaTheme="majorEastAsia" w:cs="宋体" w:hint="eastAsia"/>
          <w:sz w:val="21"/>
          <w:szCs w:val="21"/>
        </w:rPr>
        <w:t>定水质状况开展，保障处理后的水质能达到标准规定的安全限值，维护饮用水安全。</w:t>
      </w:r>
    </w:p>
    <w:p w14:paraId="1D1FFBFF"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3.2</w:t>
      </w:r>
      <w:r>
        <w:rPr>
          <w:rFonts w:eastAsiaTheme="majorEastAsia" w:cs="宋体" w:hint="eastAsia"/>
          <w:sz w:val="21"/>
          <w:szCs w:val="21"/>
        </w:rPr>
        <w:t xml:space="preserve"> </w:t>
      </w:r>
      <w:r>
        <w:rPr>
          <w:rFonts w:eastAsiaTheme="majorEastAsia" w:cs="宋体" w:hint="eastAsia"/>
          <w:sz w:val="21"/>
          <w:szCs w:val="21"/>
        </w:rPr>
        <w:t>“生物反硝化”定义详细阐述了在缺氧条件下，异养型反硝化细菌利用有机碳源作为电子供体将硝酸盐还原为氮气的微生物代谢机制。这是生物法处理硝酸盐的关键核心过程，理解该过程有助于在工艺设计中合理配置有机碳源、优化缺氧环境条件，以及在运行管理中调控微生物生长与代谢，确保反硝化反应高效进行，实现硝酸盐的有效去除。</w:t>
      </w:r>
    </w:p>
    <w:p w14:paraId="6F1332BC"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3.3</w:t>
      </w:r>
      <w:r>
        <w:rPr>
          <w:rFonts w:eastAsiaTheme="majorEastAsia" w:cs="宋体" w:hint="eastAsia"/>
          <w:sz w:val="21"/>
          <w:szCs w:val="21"/>
        </w:rPr>
        <w:t xml:space="preserve"> </w:t>
      </w:r>
      <w:r>
        <w:rPr>
          <w:rFonts w:eastAsiaTheme="majorEastAsia" w:cs="宋体" w:hint="eastAsia"/>
          <w:sz w:val="21"/>
          <w:szCs w:val="21"/>
        </w:rPr>
        <w:t>“自养反硝化”定义介绍了部分微生物利用还原态无机物进行反硝化的独特方式，与异养反硝化形成对比。在特定水质条件下，自养</w:t>
      </w:r>
      <w:r>
        <w:rPr>
          <w:rFonts w:eastAsiaTheme="majorEastAsia" w:cs="宋体" w:hint="eastAsia"/>
          <w:sz w:val="21"/>
          <w:szCs w:val="21"/>
        </w:rPr>
        <w:t>反硝化可作为一种无需外加有机碳源的处理选择，为工艺设计提供了更多灵活性。例如，在原水有机物含量极低且存在适宜还原态无机物时，可考虑采用自养反硝化工艺，降低处理成本与有机碳源带来的潜在风险。</w:t>
      </w:r>
    </w:p>
    <w:p w14:paraId="4E8E52FA"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3.4</w:t>
      </w:r>
      <w:r>
        <w:rPr>
          <w:rFonts w:eastAsiaTheme="majorEastAsia" w:cs="宋体" w:hint="eastAsia"/>
          <w:sz w:val="21"/>
          <w:szCs w:val="21"/>
        </w:rPr>
        <w:t xml:space="preserve"> </w:t>
      </w:r>
      <w:r>
        <w:rPr>
          <w:rFonts w:eastAsiaTheme="majorEastAsia" w:cs="宋体" w:hint="eastAsia"/>
          <w:sz w:val="21"/>
          <w:szCs w:val="21"/>
        </w:rPr>
        <w:t>“生物膜法”定义解释了微生物附着于载体表面形成生物膜并降解转化污染物的原理。在硝酸盐超标水的处理中，生物膜法应用广泛，如</w:t>
      </w:r>
      <w:r>
        <w:rPr>
          <w:rFonts w:eastAsiaTheme="majorEastAsia" w:cs="宋体" w:hint="eastAsia"/>
          <w:sz w:val="21"/>
          <w:szCs w:val="21"/>
        </w:rPr>
        <w:t>反硝化生物接触池</w:t>
      </w:r>
      <w:r>
        <w:rPr>
          <w:rFonts w:eastAsiaTheme="majorEastAsia" w:cs="宋体" w:hint="eastAsia"/>
          <w:sz w:val="21"/>
          <w:szCs w:val="21"/>
        </w:rPr>
        <w:t>等工艺均基于此原理。了解生物膜法有助于在设备设计中合理选择填料、确定池体结构与水力条件，以及在运行管理中掌握生物膜生长规律，通过控制水力负荷、反冲洗等操作，维持生物膜活性与处理效</w:t>
      </w:r>
      <w:r>
        <w:rPr>
          <w:rFonts w:eastAsiaTheme="majorEastAsia" w:cs="宋体" w:hint="eastAsia"/>
          <w:sz w:val="21"/>
          <w:szCs w:val="21"/>
        </w:rPr>
        <w:t>果。</w:t>
      </w:r>
    </w:p>
    <w:p w14:paraId="45122440"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3.5</w:t>
      </w:r>
      <w:r>
        <w:rPr>
          <w:rFonts w:eastAsiaTheme="majorEastAsia" w:cs="宋体" w:hint="eastAsia"/>
          <w:sz w:val="21"/>
          <w:szCs w:val="21"/>
        </w:rPr>
        <w:t xml:space="preserve"> </w:t>
      </w:r>
      <w:r>
        <w:rPr>
          <w:rFonts w:eastAsiaTheme="majorEastAsia" w:cs="宋体" w:hint="eastAsia"/>
          <w:sz w:val="21"/>
          <w:szCs w:val="21"/>
        </w:rPr>
        <w:t>“硝酸盐处理功能菌”定义明确了能够实现硝酸盐去除的关键微生物类别。在实际处理过程中，筛选、培养和保持这类功能菌的活性与数量是确保处理效果的关键因素。通过微生物质量控制措施，如菌种选择、保存、数量与活性监测等，保障硝酸盐处理功能菌在处理系统中高效发挥作用，持续稳定去除水中硝酸盐。</w:t>
      </w:r>
    </w:p>
    <w:p w14:paraId="64058683"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3.6</w:t>
      </w:r>
      <w:r>
        <w:rPr>
          <w:rFonts w:eastAsiaTheme="majorEastAsia" w:cs="宋体" w:hint="eastAsia"/>
          <w:sz w:val="21"/>
          <w:szCs w:val="21"/>
        </w:rPr>
        <w:t xml:space="preserve"> </w:t>
      </w:r>
      <w:r>
        <w:rPr>
          <w:rFonts w:eastAsiaTheme="majorEastAsia" w:cs="宋体" w:hint="eastAsia"/>
          <w:sz w:val="21"/>
          <w:szCs w:val="21"/>
        </w:rPr>
        <w:t>“碳源”定义指出其作为微生物细胞和代谢产物碳素来源的重要作用，并列举了葡萄糖、蔗糖、乙酸钠等常用碳源。在生物反硝化过程中，碳源的选择与投加量直接影响处理效果与</w:t>
      </w:r>
      <w:r>
        <w:rPr>
          <w:rFonts w:eastAsiaTheme="majorEastAsia" w:cs="宋体" w:hint="eastAsia"/>
          <w:sz w:val="21"/>
          <w:szCs w:val="21"/>
        </w:rPr>
        <w:lastRenderedPageBreak/>
        <w:t>成本。根据原水水质、微生物特性及处理工艺要求，合理选</w:t>
      </w:r>
      <w:r>
        <w:rPr>
          <w:rFonts w:eastAsiaTheme="majorEastAsia" w:cs="宋体" w:hint="eastAsia"/>
          <w:sz w:val="21"/>
          <w:szCs w:val="21"/>
        </w:rPr>
        <w:t>择碳源并精确控制投加量，是保障反硝化反应顺利进行、避免出水有机物超标和降低处理成本的关键环节。</w:t>
      </w:r>
    </w:p>
    <w:p w14:paraId="43063292"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3.7</w:t>
      </w:r>
      <w:r>
        <w:rPr>
          <w:rFonts w:eastAsiaTheme="majorEastAsia" w:cs="宋体" w:hint="eastAsia"/>
          <w:sz w:val="21"/>
          <w:szCs w:val="21"/>
        </w:rPr>
        <w:t xml:space="preserve"> </w:t>
      </w:r>
      <w:r>
        <w:rPr>
          <w:rFonts w:eastAsiaTheme="majorEastAsia" w:cs="宋体" w:hint="eastAsia"/>
          <w:sz w:val="21"/>
          <w:szCs w:val="21"/>
        </w:rPr>
        <w:t>“碳源投加装置”定义描述了其通过计量泵等装置定时定量投放碳源的功能。在处理系统中，精确的碳源投加至关重要。碳源投加装置的设计与选型需考虑碳源特性、投加精度要求及处理规模等因素，确保在不同运行条件下稳定、准确地向处理设备内输送碳源，满足微生物代谢需求，维持反硝化反应稳定高效进行。</w:t>
      </w:r>
    </w:p>
    <w:p w14:paraId="5FCEE2DA"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4. </w:t>
      </w:r>
      <w:r>
        <w:rPr>
          <w:rFonts w:eastAsiaTheme="majorEastAsia" w:cs="宋体" w:hint="eastAsia"/>
          <w:sz w:val="21"/>
          <w:szCs w:val="21"/>
        </w:rPr>
        <w:t>工艺选择原则</w:t>
      </w:r>
    </w:p>
    <w:p w14:paraId="1EE1C0E7"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4.1</w:t>
      </w:r>
      <w:r>
        <w:rPr>
          <w:rFonts w:eastAsiaTheme="majorEastAsia" w:cs="宋体" w:hint="eastAsia"/>
          <w:sz w:val="21"/>
          <w:szCs w:val="21"/>
        </w:rPr>
        <w:t xml:space="preserve"> </w:t>
      </w:r>
      <w:r>
        <w:rPr>
          <w:rFonts w:eastAsiaTheme="majorEastAsia" w:cs="宋体" w:hint="eastAsia"/>
          <w:sz w:val="21"/>
          <w:szCs w:val="21"/>
        </w:rPr>
        <w:t>原水水质指标是工艺选择的关键依据。当原水有机物匮乏但硝酸盐浓度高时，反硝化所需电子供体不足，选择能补</w:t>
      </w:r>
      <w:r>
        <w:rPr>
          <w:rFonts w:eastAsiaTheme="majorEastAsia" w:cs="宋体" w:hint="eastAsia"/>
          <w:sz w:val="21"/>
          <w:szCs w:val="21"/>
        </w:rPr>
        <w:t>充碳源的工艺可保障反硝化反应顺利进行。若浊度高，大颗粒悬浮物易堵塞生物处理单元，前置高效预处理工艺（如沉淀池、砂滤等）可有效去除悬浮物，降低后续生物处理负荷，提高整体处理效果与设备运行稳定性，确保处理工艺与原水水质特性相适配。</w:t>
      </w:r>
    </w:p>
    <w:p w14:paraId="55B2337C"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4.2</w:t>
      </w:r>
      <w:r>
        <w:rPr>
          <w:rFonts w:eastAsiaTheme="majorEastAsia" w:cs="宋体" w:hint="eastAsia"/>
          <w:sz w:val="21"/>
          <w:szCs w:val="21"/>
        </w:rPr>
        <w:t xml:space="preserve"> </w:t>
      </w:r>
      <w:r>
        <w:rPr>
          <w:rFonts w:eastAsiaTheme="majorEastAsia" w:cs="宋体" w:hint="eastAsia"/>
          <w:sz w:val="21"/>
          <w:szCs w:val="21"/>
        </w:rPr>
        <w:t>农村供水工程由于存在季节性水质、水量变化等问题，</w:t>
      </w:r>
      <w:r>
        <w:rPr>
          <w:rFonts w:eastAsiaTheme="majorEastAsia" w:cs="宋体" w:hint="eastAsia"/>
          <w:sz w:val="21"/>
          <w:szCs w:val="21"/>
        </w:rPr>
        <w:t>需应对</w:t>
      </w:r>
      <w:r>
        <w:rPr>
          <w:rFonts w:eastAsiaTheme="majorEastAsia" w:cs="宋体" w:hint="eastAsia"/>
          <w:sz w:val="21"/>
          <w:szCs w:val="21"/>
        </w:rPr>
        <w:t>不同季节水质、</w:t>
      </w:r>
      <w:r>
        <w:rPr>
          <w:rFonts w:eastAsiaTheme="majorEastAsia" w:cs="宋体" w:hint="eastAsia"/>
          <w:sz w:val="21"/>
          <w:szCs w:val="21"/>
        </w:rPr>
        <w:t>水量</w:t>
      </w:r>
      <w:r>
        <w:rPr>
          <w:rFonts w:eastAsiaTheme="majorEastAsia" w:cs="宋体" w:hint="eastAsia"/>
          <w:sz w:val="21"/>
          <w:szCs w:val="21"/>
        </w:rPr>
        <w:t>变化幅度较大的</w:t>
      </w:r>
      <w:r>
        <w:rPr>
          <w:rFonts w:eastAsiaTheme="majorEastAsia" w:cs="宋体" w:hint="eastAsia"/>
          <w:sz w:val="21"/>
          <w:szCs w:val="21"/>
        </w:rPr>
        <w:t>冲击，要求处理效能高、稳定性强的工艺，如采用高效生物反应器、完善的自动化控制系统等，确保在高流量波动下仍能稳定达标供水，满足大量用户的用水需求。</w:t>
      </w:r>
    </w:p>
    <w:p w14:paraId="306E0685"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4.3</w:t>
      </w:r>
      <w:r>
        <w:rPr>
          <w:rFonts w:eastAsiaTheme="majorEastAsia" w:cs="宋体" w:hint="eastAsia"/>
          <w:sz w:val="21"/>
          <w:szCs w:val="21"/>
        </w:rPr>
        <w:t xml:space="preserve"> </w:t>
      </w:r>
      <w:r>
        <w:rPr>
          <w:rFonts w:eastAsiaTheme="majorEastAsia" w:cs="宋体" w:hint="eastAsia"/>
          <w:sz w:val="21"/>
          <w:szCs w:val="21"/>
        </w:rPr>
        <w:t>长期运维成本评估涵盖能耗、药剂添加、</w:t>
      </w:r>
      <w:r>
        <w:rPr>
          <w:rFonts w:eastAsiaTheme="majorEastAsia" w:cs="宋体" w:hint="eastAsia"/>
          <w:sz w:val="21"/>
          <w:szCs w:val="21"/>
        </w:rPr>
        <w:t>设备检修更换等多方面费用。操作复杂且需专业人员频繁维护的工艺，若无相应技术人力支持，易出现设备故障、处理效果不稳定等问题，增加运维成本与供水风险。因此，选择经济可行且运维简便的工艺方案，可保障处理系统长期稳定运行，降低供水总成本。</w:t>
      </w:r>
    </w:p>
    <w:p w14:paraId="07FCFA6E"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4.4</w:t>
      </w:r>
      <w:r>
        <w:rPr>
          <w:rFonts w:eastAsiaTheme="majorEastAsia" w:cs="宋体" w:hint="eastAsia"/>
          <w:sz w:val="21"/>
          <w:szCs w:val="21"/>
        </w:rPr>
        <w:t xml:space="preserve"> </w:t>
      </w:r>
      <w:r>
        <w:rPr>
          <w:rFonts w:eastAsiaTheme="majorEastAsia" w:cs="宋体" w:hint="eastAsia"/>
          <w:sz w:val="21"/>
          <w:szCs w:val="21"/>
        </w:rPr>
        <w:t>工艺的成熟可靠性是保障供水安全的基础。成熟工艺经过大量实践验证，处理后水质稳定达标，能有效避免微生物泄漏、有害副产物生成等安全隐患。在饮用水处理领域，任何潜在风险都可能危及公众健康，因此优先选用成熟可靠工艺，确保处理过程安全可控，出水水质符合国家标准，为用户提供安全优质的</w:t>
      </w:r>
      <w:r>
        <w:rPr>
          <w:rFonts w:eastAsiaTheme="majorEastAsia" w:cs="宋体" w:hint="eastAsia"/>
          <w:sz w:val="21"/>
          <w:szCs w:val="21"/>
        </w:rPr>
        <w:t>饮用水。</w:t>
      </w:r>
    </w:p>
    <w:p w14:paraId="0F2006D6"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4.5</w:t>
      </w:r>
      <w:r>
        <w:rPr>
          <w:rFonts w:eastAsiaTheme="majorEastAsia" w:cs="宋体" w:hint="eastAsia"/>
          <w:sz w:val="21"/>
          <w:szCs w:val="21"/>
        </w:rPr>
        <w:t xml:space="preserve"> </w:t>
      </w:r>
      <w:r>
        <w:rPr>
          <w:rFonts w:eastAsiaTheme="majorEastAsia" w:cs="宋体" w:hint="eastAsia"/>
          <w:sz w:val="21"/>
          <w:szCs w:val="21"/>
        </w:rPr>
        <w:t>新工艺在应用前需经小试、中试充分验证。小试可初步探究工艺在实验室条件下对特定水质的处理效果与可行性，中试则进一步模拟实际工程规模与运行条件，评估工艺的稳定性、可靠性及潜在问题。只有经过严格试验验证且证明处理效果良好、安全性高的新工艺，才能应用于实际工程，防止因工艺不成熟导致的处理失败、水质超标等问题，保障饮用水处理项目的成功实施。</w:t>
      </w:r>
    </w:p>
    <w:p w14:paraId="5AB2EE0C"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5. </w:t>
      </w:r>
      <w:r>
        <w:rPr>
          <w:rFonts w:eastAsiaTheme="majorEastAsia" w:cs="宋体" w:hint="eastAsia"/>
          <w:sz w:val="21"/>
          <w:szCs w:val="21"/>
        </w:rPr>
        <w:t>工艺设计</w:t>
      </w:r>
    </w:p>
    <w:p w14:paraId="1D6325F1"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5.2 </w:t>
      </w:r>
      <w:r>
        <w:rPr>
          <w:rFonts w:eastAsiaTheme="majorEastAsia" w:cs="宋体" w:hint="eastAsia"/>
          <w:sz w:val="21"/>
          <w:szCs w:val="21"/>
        </w:rPr>
        <w:t>生物反硝化单元</w:t>
      </w:r>
    </w:p>
    <w:p w14:paraId="7FB35162"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5.2.1 </w:t>
      </w:r>
      <w:r>
        <w:rPr>
          <w:rFonts w:eastAsiaTheme="majorEastAsia" w:cs="宋体" w:hint="eastAsia"/>
          <w:sz w:val="21"/>
          <w:szCs w:val="21"/>
        </w:rPr>
        <w:t>反消化</w:t>
      </w:r>
      <w:r>
        <w:rPr>
          <w:rFonts w:eastAsiaTheme="majorEastAsia" w:cs="宋体" w:hint="eastAsia"/>
          <w:sz w:val="21"/>
          <w:szCs w:val="21"/>
        </w:rPr>
        <w:t>生物接触</w:t>
      </w:r>
      <w:r>
        <w:rPr>
          <w:rFonts w:eastAsiaTheme="majorEastAsia" w:cs="宋体" w:hint="eastAsia"/>
          <w:sz w:val="21"/>
          <w:szCs w:val="21"/>
        </w:rPr>
        <w:t>池</w:t>
      </w:r>
    </w:p>
    <w:p w14:paraId="1D461DB5"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挂膜宜在水温高于</w:t>
      </w:r>
      <w:r>
        <w:rPr>
          <w:rFonts w:eastAsiaTheme="majorEastAsia" w:cs="宋体" w:hint="eastAsia"/>
          <w:sz w:val="21"/>
          <w:szCs w:val="21"/>
        </w:rPr>
        <w:t>10</w:t>
      </w:r>
      <w:r>
        <w:rPr>
          <w:rFonts w:eastAsiaTheme="majorEastAsia" w:cs="宋体" w:hint="eastAsia"/>
          <w:sz w:val="21"/>
          <w:szCs w:val="21"/>
        </w:rPr>
        <w:t>℃时进行，因为低温会抑制微生物生长与代谢活动，影响挂膜效果和生物膜活性。当生物膜增厚时及时冲洗，可防止生物膜过厚导致内层微生物缺氧死亡、传质阻力增大等问题，保持生物膜良好的活性与处理能力。填料用量、池容、进气量等计算</w:t>
      </w:r>
      <w:r>
        <w:rPr>
          <w:rFonts w:eastAsiaTheme="majorEastAsia" w:cs="宋体" w:hint="eastAsia"/>
          <w:sz w:val="21"/>
          <w:szCs w:val="21"/>
        </w:rPr>
        <w:lastRenderedPageBreak/>
        <w:t>公式中的参数设定，是依据处理水量、水力负荷、气水比等因素综合确定的。例如，生物氧化水力负荷设计值及运行调控范围，是在保证处理效果的前提下，结合微生物代谢需求和实际工程经验确定的，确保在不同运行条件下，微生物都能充分利用水中硝酸盐进行反硝化反应，实现高效处理。</w:t>
      </w:r>
    </w:p>
    <w:p w14:paraId="25EE5B08"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反冲洗分两步进行</w:t>
      </w:r>
      <w:r>
        <w:rPr>
          <w:rFonts w:eastAsiaTheme="majorEastAsia" w:cs="宋体" w:hint="eastAsia"/>
          <w:sz w:val="21"/>
          <w:szCs w:val="21"/>
        </w:rPr>
        <w:t>，先气冲后水冲，气冲可松动填料层，水冲则有效冲走截留杂质，确保填料层清洁，维持良好的水力条件和处理效果。池体底面积、高度及反冲洗相关参数计算公式，是根据滤速、填料特性、反冲洗强度要求等确定的。合理的池体结构设计和反冲洗参数设置，保证了颗粒填料</w:t>
      </w:r>
      <w:r>
        <w:rPr>
          <w:rFonts w:eastAsiaTheme="majorEastAsia" w:cs="宋体" w:hint="eastAsia"/>
          <w:sz w:val="21"/>
          <w:szCs w:val="21"/>
        </w:rPr>
        <w:t>反硝化生物接触池</w:t>
      </w:r>
      <w:r>
        <w:rPr>
          <w:rFonts w:eastAsiaTheme="majorEastAsia" w:cs="宋体" w:hint="eastAsia"/>
          <w:sz w:val="21"/>
          <w:szCs w:val="21"/>
        </w:rPr>
        <w:t>在长期运行中稳定运行，避免填料堵塞、流失等问题。</w:t>
      </w:r>
    </w:p>
    <w:p w14:paraId="4427172D"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蜂窝管填料</w:t>
      </w:r>
      <w:r>
        <w:rPr>
          <w:rFonts w:eastAsiaTheme="majorEastAsia" w:cs="宋体" w:hint="eastAsia"/>
          <w:sz w:val="21"/>
          <w:szCs w:val="21"/>
        </w:rPr>
        <w:t>反硝化生物接触池，</w:t>
      </w:r>
      <w:r>
        <w:rPr>
          <w:rFonts w:eastAsiaTheme="majorEastAsia" w:cs="宋体" w:hint="eastAsia"/>
          <w:sz w:val="21"/>
          <w:szCs w:val="21"/>
        </w:rPr>
        <w:t>池子设计成正方形结构且确定有效水深、填料高度和进气量等参数，是基于蜂窝管填料特性和水流流态优化设计的。正方形结构有助于水流均匀分布，合适的水深和填料高度保证了微生物与污染物充分接触，进气量按填料体积</w:t>
      </w:r>
      <w:r>
        <w:rPr>
          <w:rFonts w:eastAsiaTheme="majorEastAsia" w:cs="宋体" w:hint="eastAsia"/>
          <w:sz w:val="21"/>
          <w:szCs w:val="21"/>
        </w:rPr>
        <w:t>的</w:t>
      </w:r>
      <w:r>
        <w:rPr>
          <w:rFonts w:eastAsiaTheme="majorEastAsia" w:cs="宋体" w:hint="eastAsia"/>
          <w:sz w:val="21"/>
          <w:szCs w:val="21"/>
        </w:rPr>
        <w:t>2</w:t>
      </w:r>
      <w:r>
        <w:rPr>
          <w:rFonts w:eastAsiaTheme="majorEastAsia" w:cs="宋体" w:hint="eastAsia"/>
          <w:sz w:val="21"/>
          <w:szCs w:val="21"/>
        </w:rPr>
        <w:t>倍设计可提供充足氧气，促进微生物代谢，提高反硝化效率，确保处理效果稳定。</w:t>
      </w:r>
    </w:p>
    <w:p w14:paraId="2AB0E7F3"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5.2.2 </w:t>
      </w:r>
      <w:r>
        <w:rPr>
          <w:rFonts w:eastAsiaTheme="majorEastAsia" w:cs="宋体" w:hint="eastAsia"/>
          <w:sz w:val="21"/>
          <w:szCs w:val="21"/>
        </w:rPr>
        <w:t>硫自养滤池</w:t>
      </w:r>
    </w:p>
    <w:p w14:paraId="5FBF1D82"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以硫磺等作为电子供体的硫自养滤池，其水力负荷和反硝化速率的参数范围是根据硫自养微生物的代谢特性和实际工程应用效果确定的。严格控制进水硫化物含量至关重要，因为过高的硫化物可能导致出水硫化物超标，影响水质安全。同时，</w:t>
      </w:r>
      <w:r>
        <w:rPr>
          <w:rFonts w:eastAsiaTheme="majorEastAsia" w:cs="宋体" w:hint="eastAsia"/>
          <w:sz w:val="21"/>
          <w:szCs w:val="21"/>
        </w:rPr>
        <w:t>严格控制</w:t>
      </w:r>
      <w:r>
        <w:rPr>
          <w:rFonts w:eastAsiaTheme="majorEastAsia" w:cs="宋体" w:hint="eastAsia"/>
          <w:sz w:val="21"/>
          <w:szCs w:val="21"/>
        </w:rPr>
        <w:t>运行条件（如温度、</w:t>
      </w:r>
      <w:r>
        <w:rPr>
          <w:rFonts w:eastAsiaTheme="majorEastAsia" w:cs="宋体" w:hint="eastAsia"/>
          <w:sz w:val="21"/>
          <w:szCs w:val="21"/>
        </w:rPr>
        <w:t>pH</w:t>
      </w:r>
      <w:r>
        <w:rPr>
          <w:rFonts w:eastAsiaTheme="majorEastAsia" w:cs="宋体" w:hint="eastAsia"/>
          <w:sz w:val="21"/>
          <w:szCs w:val="21"/>
        </w:rPr>
        <w:t>值、水力停留时间等），可减少副产物（如硫酸根离子等）生成，防止二次污染，确保处理后的水符合饮用水标准，保障供水安全。</w:t>
      </w:r>
    </w:p>
    <w:p w14:paraId="41DBE1F6"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5.2.3 </w:t>
      </w:r>
      <w:r>
        <w:rPr>
          <w:rFonts w:eastAsiaTheme="majorEastAsia" w:cs="宋体" w:hint="eastAsia"/>
          <w:sz w:val="21"/>
          <w:szCs w:val="21"/>
        </w:rPr>
        <w:t>膜生物反应器法</w:t>
      </w:r>
    </w:p>
    <w:p w14:paraId="2B787D20"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膜组件的膜通量、水力停留时间和污泥停留时间等参数根据处理规模和水质要求设计。膜通量影响处理效率和膜污染程度，合理的通量可在保证处理水量的同时，减少膜堵塞风险。水力停留时间和污泥停留时间的设定是为了确保微生物有足够时间进行反硝化反应和污泥稳定化，防止因停留时间不当导致反硝化不完全或污泥膨胀等问题。定期物理和化学清洗是维持膜组件性能的关键</w:t>
      </w:r>
      <w:r>
        <w:rPr>
          <w:rFonts w:eastAsiaTheme="majorEastAsia" w:cs="宋体" w:hint="eastAsia"/>
          <w:sz w:val="21"/>
          <w:szCs w:val="21"/>
        </w:rPr>
        <w:t>措施，通过去除膜表面的污染物，保持膜的渗透性，确保反硝化与膜分离协同进行，稳定出水水质。</w:t>
      </w:r>
    </w:p>
    <w:p w14:paraId="4864F789"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5.3 </w:t>
      </w:r>
      <w:r>
        <w:rPr>
          <w:rFonts w:eastAsiaTheme="majorEastAsia" w:cs="宋体" w:hint="eastAsia"/>
          <w:sz w:val="21"/>
          <w:szCs w:val="21"/>
        </w:rPr>
        <w:t>后处理</w:t>
      </w:r>
    </w:p>
    <w:p w14:paraId="64792479"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5.3.2 </w:t>
      </w:r>
      <w:r>
        <w:rPr>
          <w:rFonts w:eastAsiaTheme="majorEastAsia" w:cs="宋体" w:hint="eastAsia"/>
          <w:sz w:val="21"/>
          <w:szCs w:val="21"/>
        </w:rPr>
        <w:t>深度过滤（可选）</w:t>
      </w:r>
    </w:p>
    <w:p w14:paraId="167930C4"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超滤、反渗透等膜过滤技术在提升水质方面具有重要作用。超滤膜通量</w:t>
      </w:r>
      <w:r>
        <w:rPr>
          <w:rFonts w:eastAsiaTheme="majorEastAsia" w:cs="宋体" w:hint="eastAsia"/>
          <w:sz w:val="21"/>
          <w:szCs w:val="21"/>
        </w:rPr>
        <w:t>50-150</w:t>
      </w:r>
      <w:r>
        <w:rPr>
          <w:rFonts w:eastAsiaTheme="majorEastAsia" w:cs="宋体" w:hint="eastAsia"/>
          <w:sz w:val="21"/>
          <w:szCs w:val="21"/>
        </w:rPr>
        <w:t xml:space="preserve"> </w:t>
      </w:r>
      <w:r>
        <w:rPr>
          <w:rFonts w:eastAsiaTheme="majorEastAsia" w:cs="宋体" w:hint="eastAsia"/>
          <w:sz w:val="21"/>
          <w:szCs w:val="21"/>
        </w:rPr>
        <w:t>L/(m</w:t>
      </w:r>
      <w:r>
        <w:rPr>
          <w:rFonts w:eastAsiaTheme="majorEastAsia" w:cs="宋体" w:hint="eastAsia"/>
          <w:sz w:val="21"/>
          <w:szCs w:val="21"/>
        </w:rPr>
        <w:t>²·</w:t>
      </w:r>
      <w:r>
        <w:rPr>
          <w:rFonts w:eastAsiaTheme="majorEastAsia" w:cs="宋体" w:hint="eastAsia"/>
          <w:sz w:val="21"/>
          <w:szCs w:val="21"/>
        </w:rPr>
        <w:t>h)</w:t>
      </w:r>
      <w:r>
        <w:rPr>
          <w:rFonts w:eastAsiaTheme="majorEastAsia" w:cs="宋体" w:hint="eastAsia"/>
          <w:sz w:val="21"/>
          <w:szCs w:val="21"/>
        </w:rPr>
        <w:t>的选择是在考虑去除目标污染物和膜污染控制的基础上确定的，能够有效去除大分子有机物、胶体等杂质。反渗透脱盐率</w:t>
      </w:r>
      <w:r>
        <w:rPr>
          <w:rFonts w:eastAsiaTheme="majorEastAsia" w:cs="宋体" w:hint="eastAsia"/>
          <w:sz w:val="21"/>
          <w:szCs w:val="21"/>
        </w:rPr>
        <w:t>&gt;95%</w:t>
      </w:r>
      <w:r>
        <w:rPr>
          <w:rFonts w:eastAsiaTheme="majorEastAsia" w:cs="宋体" w:hint="eastAsia"/>
          <w:sz w:val="21"/>
          <w:szCs w:val="21"/>
        </w:rPr>
        <w:t>，可进一步去除水中的溶解性盐类，显著降低水的硬度和盐分含量，满足对水质要求更高的用户需求，提升饮用水的品质和口感。</w:t>
      </w:r>
    </w:p>
    <w:p w14:paraId="42509DE1"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6. </w:t>
      </w:r>
      <w:r>
        <w:rPr>
          <w:rFonts w:eastAsiaTheme="majorEastAsia" w:cs="宋体" w:hint="eastAsia"/>
          <w:sz w:val="21"/>
          <w:szCs w:val="21"/>
        </w:rPr>
        <w:t>设备选型</w:t>
      </w:r>
    </w:p>
    <w:p w14:paraId="29C58FF0"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6.1 </w:t>
      </w:r>
      <w:r>
        <w:rPr>
          <w:rFonts w:eastAsiaTheme="majorEastAsia" w:cs="宋体" w:hint="eastAsia"/>
          <w:sz w:val="21"/>
          <w:szCs w:val="21"/>
        </w:rPr>
        <w:t>曝气设备</w:t>
      </w:r>
    </w:p>
    <w:p w14:paraId="1B2FC3CE"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lastRenderedPageBreak/>
        <w:t>小型处理站选择旋涡风</w:t>
      </w:r>
      <w:r>
        <w:rPr>
          <w:rFonts w:eastAsiaTheme="majorEastAsia" w:cs="宋体" w:hint="eastAsia"/>
          <w:sz w:val="21"/>
          <w:szCs w:val="21"/>
        </w:rPr>
        <w:t>机、大型处理厂采用罗茨鼓风机，并搭配微孔曝气盘，是根据处理规模和供气量需求确定的。风压</w:t>
      </w:r>
      <w:r>
        <w:rPr>
          <w:rFonts w:eastAsiaTheme="majorEastAsia" w:cs="宋体" w:hint="eastAsia"/>
          <w:sz w:val="21"/>
          <w:szCs w:val="21"/>
        </w:rPr>
        <w:t>30-60</w:t>
      </w:r>
      <w:r>
        <w:rPr>
          <w:rFonts w:eastAsiaTheme="majorEastAsia" w:cs="宋体" w:hint="eastAsia"/>
          <w:sz w:val="21"/>
          <w:szCs w:val="21"/>
        </w:rPr>
        <w:t xml:space="preserve"> </w:t>
      </w:r>
      <w:r>
        <w:rPr>
          <w:rFonts w:eastAsiaTheme="majorEastAsia" w:cs="宋体" w:hint="eastAsia"/>
          <w:sz w:val="21"/>
          <w:szCs w:val="21"/>
        </w:rPr>
        <w:t>kPa</w:t>
      </w:r>
      <w:r>
        <w:rPr>
          <w:rFonts w:eastAsiaTheme="majorEastAsia" w:cs="宋体" w:hint="eastAsia"/>
          <w:sz w:val="21"/>
          <w:szCs w:val="21"/>
        </w:rPr>
        <w:t>可满足不同水深和曝气要求，确保氧气在水中的良好传递与分散。风量依处理水量与溶解氧需求精确计算，能保证生物处理单元中微生物获得充足氧气进行代谢活动，提高处理效率，同时氧利用率达</w:t>
      </w:r>
      <w:r>
        <w:rPr>
          <w:rFonts w:eastAsiaTheme="majorEastAsia" w:cs="宋体" w:hint="eastAsia"/>
          <w:sz w:val="21"/>
          <w:szCs w:val="21"/>
        </w:rPr>
        <w:t>20%-35%</w:t>
      </w:r>
      <w:r>
        <w:rPr>
          <w:rFonts w:eastAsiaTheme="majorEastAsia" w:cs="宋体" w:hint="eastAsia"/>
          <w:sz w:val="21"/>
          <w:szCs w:val="21"/>
        </w:rPr>
        <w:t>，可降低能耗，提高能源利用效率，减少运行成本。</w:t>
      </w:r>
    </w:p>
    <w:p w14:paraId="1277729B"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6.2 </w:t>
      </w:r>
      <w:r>
        <w:rPr>
          <w:rFonts w:eastAsiaTheme="majorEastAsia" w:cs="宋体" w:hint="eastAsia"/>
          <w:sz w:val="21"/>
          <w:szCs w:val="21"/>
        </w:rPr>
        <w:t>碳源投加系统</w:t>
      </w:r>
    </w:p>
    <w:p w14:paraId="0B7463B4"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高精度计量泵（流量精度±</w:t>
      </w:r>
      <w:r>
        <w:rPr>
          <w:rFonts w:eastAsiaTheme="majorEastAsia" w:cs="宋体" w:hint="eastAsia"/>
          <w:sz w:val="21"/>
          <w:szCs w:val="21"/>
        </w:rPr>
        <w:t>1%</w:t>
      </w:r>
      <w:r>
        <w:rPr>
          <w:rFonts w:eastAsiaTheme="majorEastAsia" w:cs="宋体" w:hint="eastAsia"/>
          <w:sz w:val="21"/>
          <w:szCs w:val="21"/>
        </w:rPr>
        <w:t>）能精确控制碳源投加量，避免因投加过量或不足影响处理效果和水质。耐腐碳源储存罐容积按</w:t>
      </w:r>
      <w:r>
        <w:rPr>
          <w:rFonts w:eastAsiaTheme="majorEastAsia" w:cs="宋体" w:hint="eastAsia"/>
          <w:sz w:val="21"/>
          <w:szCs w:val="21"/>
        </w:rPr>
        <w:t>7-15</w:t>
      </w:r>
      <w:r>
        <w:rPr>
          <w:rFonts w:eastAsiaTheme="majorEastAsia" w:cs="宋体" w:hint="eastAsia"/>
          <w:sz w:val="21"/>
          <w:szCs w:val="21"/>
        </w:rPr>
        <w:t>天用量设计，并配备防泄漏、防晒</w:t>
      </w:r>
      <w:r>
        <w:rPr>
          <w:rFonts w:eastAsiaTheme="majorEastAsia" w:cs="宋体" w:hint="eastAsia"/>
          <w:sz w:val="21"/>
          <w:szCs w:val="21"/>
        </w:rPr>
        <w:t>、防雨措施，可保证碳源稳定供应，防止碳源变质和泄漏对环境造成污染，确保处理系统连续稳定运行，降低因碳源问题导致的处理故障风险。</w:t>
      </w:r>
    </w:p>
    <w:p w14:paraId="0B219722"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6.3 </w:t>
      </w:r>
      <w:r>
        <w:rPr>
          <w:rFonts w:eastAsiaTheme="majorEastAsia" w:cs="宋体" w:hint="eastAsia"/>
          <w:sz w:val="21"/>
          <w:szCs w:val="21"/>
        </w:rPr>
        <w:t>过滤设备</w:t>
      </w:r>
    </w:p>
    <w:p w14:paraId="22AFA34F"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砂滤池配自动反冲洗装置可及时清除滤料截留的杂质，维持稳定的过滤效果，减少人工操作强度。活性炭滤池定期更换活性炭，是因为活性炭在吸附过程中会逐渐饱和，定期更换可保证对有机物等污染物的持续有效吸附。超滤膜过滤选择截留分子量为</w:t>
      </w:r>
      <w:r>
        <w:rPr>
          <w:rFonts w:eastAsiaTheme="majorEastAsia" w:cs="宋体" w:hint="eastAsia"/>
          <w:sz w:val="21"/>
          <w:szCs w:val="21"/>
        </w:rPr>
        <w:t>5-10</w:t>
      </w:r>
      <w:r>
        <w:rPr>
          <w:rFonts w:eastAsiaTheme="majorEastAsia" w:cs="宋体" w:hint="eastAsia"/>
          <w:sz w:val="21"/>
          <w:szCs w:val="21"/>
        </w:rPr>
        <w:t>万的膜组件，能有效去除特定分子量范围的污染物，保障过滤效果稳定，满足处理水质要求，确保出水水质达标。</w:t>
      </w:r>
    </w:p>
    <w:p w14:paraId="4718CAC4"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6.4 </w:t>
      </w:r>
      <w:r>
        <w:rPr>
          <w:rFonts w:eastAsiaTheme="majorEastAsia" w:cs="宋体" w:hint="eastAsia"/>
          <w:sz w:val="21"/>
          <w:szCs w:val="21"/>
        </w:rPr>
        <w:t>反冲洗设备</w:t>
      </w:r>
    </w:p>
    <w:p w14:paraId="1D279C78"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反冲洗泵流量和反</w:t>
      </w:r>
      <w:r>
        <w:rPr>
          <w:rFonts w:eastAsiaTheme="majorEastAsia" w:cs="宋体" w:hint="eastAsia"/>
          <w:sz w:val="21"/>
          <w:szCs w:val="21"/>
        </w:rPr>
        <w:t>冲洗风机风量根据滤池或填料面积及反冲洗强度确定，如颗粒填料</w:t>
      </w:r>
      <w:r>
        <w:rPr>
          <w:rFonts w:eastAsiaTheme="majorEastAsia" w:cs="宋体" w:hint="eastAsia"/>
          <w:sz w:val="21"/>
          <w:szCs w:val="21"/>
        </w:rPr>
        <w:t>反硝化生物接触池</w:t>
      </w:r>
      <w:r>
        <w:rPr>
          <w:rFonts w:eastAsiaTheme="majorEastAsia" w:cs="宋体" w:hint="eastAsia"/>
          <w:sz w:val="21"/>
          <w:szCs w:val="21"/>
        </w:rPr>
        <w:t>的水反冲洗强度</w:t>
      </w:r>
      <w:r>
        <w:rPr>
          <w:rFonts w:eastAsiaTheme="majorEastAsia" w:cs="宋体" w:hint="eastAsia"/>
          <w:sz w:val="21"/>
          <w:szCs w:val="21"/>
        </w:rPr>
        <w:t>10-15</w:t>
      </w:r>
      <w:r>
        <w:rPr>
          <w:rFonts w:eastAsiaTheme="majorEastAsia" w:cs="宋体" w:hint="eastAsia"/>
          <w:sz w:val="21"/>
          <w:szCs w:val="21"/>
        </w:rPr>
        <w:t xml:space="preserve"> </w:t>
      </w:r>
      <w:r>
        <w:rPr>
          <w:rFonts w:eastAsiaTheme="majorEastAsia" w:cs="宋体" w:hint="eastAsia"/>
          <w:sz w:val="21"/>
          <w:szCs w:val="21"/>
        </w:rPr>
        <w:t>L/(m</w:t>
      </w:r>
      <w:r>
        <w:rPr>
          <w:rFonts w:eastAsiaTheme="majorEastAsia" w:cs="宋体" w:hint="eastAsia"/>
          <w:sz w:val="21"/>
          <w:szCs w:val="21"/>
        </w:rPr>
        <w:t>²·</w:t>
      </w:r>
      <w:r>
        <w:rPr>
          <w:rFonts w:eastAsiaTheme="majorEastAsia" w:cs="宋体" w:hint="eastAsia"/>
          <w:sz w:val="21"/>
          <w:szCs w:val="21"/>
        </w:rPr>
        <w:t>s)</w:t>
      </w:r>
      <w:r>
        <w:rPr>
          <w:rFonts w:eastAsiaTheme="majorEastAsia" w:cs="宋体" w:hint="eastAsia"/>
          <w:sz w:val="21"/>
          <w:szCs w:val="21"/>
        </w:rPr>
        <w:t>、气反冲洗强度</w:t>
      </w:r>
      <w:r>
        <w:rPr>
          <w:rFonts w:eastAsiaTheme="majorEastAsia" w:cs="宋体" w:hint="eastAsia"/>
          <w:sz w:val="21"/>
          <w:szCs w:val="21"/>
        </w:rPr>
        <w:t>10-20</w:t>
      </w:r>
      <w:r>
        <w:rPr>
          <w:rFonts w:eastAsiaTheme="majorEastAsia" w:cs="宋体" w:hint="eastAsia"/>
          <w:sz w:val="21"/>
          <w:szCs w:val="21"/>
        </w:rPr>
        <w:t xml:space="preserve"> </w:t>
      </w:r>
      <w:r>
        <w:rPr>
          <w:rFonts w:eastAsiaTheme="majorEastAsia" w:cs="宋体" w:hint="eastAsia"/>
          <w:sz w:val="21"/>
          <w:szCs w:val="21"/>
        </w:rPr>
        <w:t>L/(m</w:t>
      </w:r>
      <w:r>
        <w:rPr>
          <w:rFonts w:eastAsiaTheme="majorEastAsia" w:cs="宋体" w:hint="eastAsia"/>
          <w:sz w:val="21"/>
          <w:szCs w:val="21"/>
        </w:rPr>
        <w:t>²·</w:t>
      </w:r>
      <w:r>
        <w:rPr>
          <w:rFonts w:eastAsiaTheme="majorEastAsia" w:cs="宋体" w:hint="eastAsia"/>
          <w:sz w:val="21"/>
          <w:szCs w:val="21"/>
        </w:rPr>
        <w:t>s)</w:t>
      </w:r>
      <w:r>
        <w:rPr>
          <w:rFonts w:eastAsiaTheme="majorEastAsia" w:cs="宋体" w:hint="eastAsia"/>
          <w:sz w:val="21"/>
          <w:szCs w:val="21"/>
        </w:rPr>
        <w:t>，是为了确保在反冲洗过程中能够有效清除滤料或填料表面的截留物，同时避免因反冲洗强度过大导致滤料或填料损坏、流失，保证滤池或填料在反冲洗后能迅速恢复过滤性能，维持处理系统稳定运行。</w:t>
      </w:r>
    </w:p>
    <w:p w14:paraId="13AA6437"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6.5 </w:t>
      </w:r>
      <w:r>
        <w:rPr>
          <w:rFonts w:eastAsiaTheme="majorEastAsia" w:cs="宋体" w:hint="eastAsia"/>
          <w:sz w:val="21"/>
          <w:szCs w:val="21"/>
        </w:rPr>
        <w:t>在线监测设备</w:t>
      </w:r>
    </w:p>
    <w:p w14:paraId="0AD34370"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溶解氧监测仪、水质分析仪等在线监测设备实时监测处理过程中的水质参数，如溶解氧、硝酸盐浓度、有机物含量等。通过及时反馈水质信息，操作人员可根据监测数据迅速</w:t>
      </w:r>
      <w:r>
        <w:rPr>
          <w:rFonts w:eastAsiaTheme="majorEastAsia" w:cs="宋体" w:hint="eastAsia"/>
          <w:sz w:val="21"/>
          <w:szCs w:val="21"/>
        </w:rPr>
        <w:t>调整运行参数，如调节曝气设备、碳源投加量等，确保处理过程始终处于最佳运行状态，提高处理效果和稳定性，防止因水质波动未及时发现和处理而导致出水水质超标。</w:t>
      </w:r>
    </w:p>
    <w:p w14:paraId="65CECEAA"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6.6 </w:t>
      </w:r>
      <w:r>
        <w:rPr>
          <w:rFonts w:eastAsiaTheme="majorEastAsia" w:cs="宋体" w:hint="eastAsia"/>
          <w:sz w:val="21"/>
          <w:szCs w:val="21"/>
        </w:rPr>
        <w:t>自动化控制系统</w:t>
      </w:r>
    </w:p>
    <w:p w14:paraId="49DB4BB0"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自动化控制系统实现设备的自动化运行和监控，包括设备启停、运行参数调节、故障报警等功能。其可减少人工操作误差，提高处理效率和稳定性，实现远程控制和管理，便于及时发现和解决设备故障，降低运行成本，保障处理系统长期可靠运行，适应现代化水处理厂的运行管理需求。</w:t>
      </w:r>
    </w:p>
    <w:p w14:paraId="7CF38968"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 </w:t>
      </w:r>
      <w:r>
        <w:rPr>
          <w:rFonts w:eastAsiaTheme="majorEastAsia" w:cs="宋体" w:hint="eastAsia"/>
          <w:sz w:val="21"/>
          <w:szCs w:val="21"/>
        </w:rPr>
        <w:t>运行管理</w:t>
      </w:r>
    </w:p>
    <w:p w14:paraId="25EB5F42"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7.1 </w:t>
      </w:r>
      <w:r>
        <w:rPr>
          <w:rFonts w:eastAsiaTheme="majorEastAsia" w:cs="宋体" w:hint="eastAsia"/>
          <w:sz w:val="21"/>
          <w:szCs w:val="21"/>
        </w:rPr>
        <w:t>启动与调试</w:t>
      </w:r>
    </w:p>
    <w:p w14:paraId="51B21FD9"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lastRenderedPageBreak/>
        <w:t xml:space="preserve">7.1.1 </w:t>
      </w:r>
      <w:r>
        <w:rPr>
          <w:rFonts w:eastAsiaTheme="majorEastAsia" w:cs="宋体" w:hint="eastAsia"/>
          <w:sz w:val="21"/>
          <w:szCs w:val="21"/>
        </w:rPr>
        <w:t>接种菌种</w:t>
      </w:r>
    </w:p>
    <w:p w14:paraId="397C9C80"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向处理系统接种驯化好的硝</w:t>
      </w:r>
      <w:r>
        <w:rPr>
          <w:rFonts w:eastAsiaTheme="majorEastAsia" w:cs="宋体" w:hint="eastAsia"/>
          <w:sz w:val="21"/>
          <w:szCs w:val="21"/>
        </w:rPr>
        <w:t>化菌、反硝化菌，接种量按反应器有效容积</w:t>
      </w:r>
      <w:r>
        <w:rPr>
          <w:rFonts w:eastAsiaTheme="majorEastAsia" w:cs="宋体" w:hint="eastAsia"/>
          <w:sz w:val="21"/>
          <w:szCs w:val="21"/>
        </w:rPr>
        <w:t>5%-10%</w:t>
      </w:r>
      <w:r>
        <w:rPr>
          <w:rFonts w:eastAsiaTheme="majorEastAsia" w:cs="宋体" w:hint="eastAsia"/>
          <w:sz w:val="21"/>
          <w:szCs w:val="21"/>
        </w:rPr>
        <w:t>计算，是为了在处理系统中快速建立起具有高效反硝化能力的微生物群落。驯化好的菌种能更好地适应处理水质和环境条件，适当的接种量可确保微生物在较短时间内达到一定数量，启动生物处理过程，缩短系统启动周期，提高处理系统的运行效率。</w:t>
      </w:r>
    </w:p>
    <w:p w14:paraId="7C8CBE14"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7.1.2 </w:t>
      </w:r>
      <w:r>
        <w:rPr>
          <w:rFonts w:eastAsiaTheme="majorEastAsia" w:cs="宋体" w:hint="eastAsia"/>
          <w:sz w:val="21"/>
          <w:szCs w:val="21"/>
        </w:rPr>
        <w:t>逐步进水</w:t>
      </w:r>
    </w:p>
    <w:p w14:paraId="3E64EE77"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启动初期低流量进水并持续</w:t>
      </w:r>
      <w:r>
        <w:rPr>
          <w:rFonts w:eastAsiaTheme="majorEastAsia" w:cs="宋体" w:hint="eastAsia"/>
          <w:sz w:val="21"/>
          <w:szCs w:val="21"/>
        </w:rPr>
        <w:t>1-2</w:t>
      </w:r>
      <w:r>
        <w:rPr>
          <w:rFonts w:eastAsiaTheme="majorEastAsia" w:cs="宋体" w:hint="eastAsia"/>
          <w:sz w:val="21"/>
          <w:szCs w:val="21"/>
        </w:rPr>
        <w:t>周逐步提升至设计流量，是为了给微生物提供一个逐渐适应进水水质和负荷的过程。在低流量下，微生物可充分利用水中营养物质进行生长繁殖，避免因进水流量过大、水质冲击导致微生物生长受抑制或流失，同步监测水质变化可及时了解微生物适应情况和处理效果，为后续运行参数调整提供依据。</w:t>
      </w:r>
    </w:p>
    <w:p w14:paraId="411D25F8"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7.1.3 </w:t>
      </w:r>
      <w:r>
        <w:rPr>
          <w:rFonts w:eastAsiaTheme="majorEastAsia" w:cs="宋体" w:hint="eastAsia"/>
          <w:sz w:val="21"/>
          <w:szCs w:val="21"/>
        </w:rPr>
        <w:t>生物膜法启动</w:t>
      </w:r>
    </w:p>
    <w:p w14:paraId="164673A9"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生物膜法启动初期低流速进水并添加适量营养物质，有助于微生物在载体表面附着生长形成生物膜。</w:t>
      </w:r>
      <w:r>
        <w:rPr>
          <w:rFonts w:eastAsiaTheme="majorEastAsia" w:cs="宋体" w:hint="eastAsia"/>
          <w:sz w:val="21"/>
          <w:szCs w:val="21"/>
        </w:rPr>
        <w:t>1-2</w:t>
      </w:r>
      <w:r>
        <w:rPr>
          <w:rFonts w:eastAsiaTheme="majorEastAsia" w:cs="宋体" w:hint="eastAsia"/>
          <w:sz w:val="21"/>
          <w:szCs w:val="21"/>
        </w:rPr>
        <w:t>周实现挂膜成功是基于微生物生长繁殖规律和实际工程经验确定的，在此期间，合适的水流速度和营养条件可促进生物膜快速形成且保证其活性，为后续生物处理过程奠定良好基础。</w:t>
      </w:r>
    </w:p>
    <w:p w14:paraId="27CFE8B2"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7.2 </w:t>
      </w:r>
      <w:r>
        <w:rPr>
          <w:rFonts w:eastAsiaTheme="majorEastAsia" w:cs="宋体" w:hint="eastAsia"/>
          <w:sz w:val="21"/>
          <w:szCs w:val="21"/>
        </w:rPr>
        <w:t>日常运行</w:t>
      </w:r>
    </w:p>
    <w:p w14:paraId="6E1EC762"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7.2.1 </w:t>
      </w:r>
      <w:r>
        <w:rPr>
          <w:rFonts w:eastAsiaTheme="majorEastAsia" w:cs="宋体" w:hint="eastAsia"/>
          <w:sz w:val="21"/>
          <w:szCs w:val="21"/>
        </w:rPr>
        <w:t>流量控制</w:t>
      </w:r>
    </w:p>
    <w:p w14:paraId="2DD3E8D3"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通过调节进水阀门等手段将进水流量偏差控制在±</w:t>
      </w:r>
      <w:r>
        <w:rPr>
          <w:rFonts w:eastAsiaTheme="majorEastAsia" w:cs="宋体" w:hint="eastAsia"/>
          <w:sz w:val="21"/>
          <w:szCs w:val="21"/>
        </w:rPr>
        <w:t>10%</w:t>
      </w:r>
      <w:r>
        <w:rPr>
          <w:rFonts w:eastAsiaTheme="majorEastAsia" w:cs="宋体" w:hint="eastAsia"/>
          <w:sz w:val="21"/>
          <w:szCs w:val="21"/>
        </w:rPr>
        <w:t>以内，可保证处理系统在稳定的水力负荷下运行。稳定的流量有助于维持生物处理单元中微生物的生长环境稳定，确保处理效果的一致性。若流量波动过大，可能导致水力停留时间变化、生</w:t>
      </w:r>
      <w:r>
        <w:rPr>
          <w:rFonts w:eastAsiaTheme="majorEastAsia" w:cs="宋体" w:hint="eastAsia"/>
          <w:sz w:val="21"/>
          <w:szCs w:val="21"/>
        </w:rPr>
        <w:t>物膜脱落或微生物代谢紊乱等问题，影响处理效果和出水水质稳定性。</w:t>
      </w:r>
    </w:p>
    <w:p w14:paraId="3597A19F"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7.2.2 </w:t>
      </w:r>
      <w:r>
        <w:rPr>
          <w:rFonts w:eastAsiaTheme="majorEastAsia" w:cs="宋体" w:hint="eastAsia"/>
          <w:sz w:val="21"/>
          <w:szCs w:val="21"/>
        </w:rPr>
        <w:t>水质监测调控</w:t>
      </w:r>
    </w:p>
    <w:p w14:paraId="152028BB"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每日监测进水、出水硝酸盐浓度等关键指标，能及时掌握处理效果变化情况。根据监测结果调整有机碳源投加量等运行参数，可确保反硝化反应所需碳源充足且不过量。例如，当进水硝酸盐浓度升高时，适当增加碳源投加量；当出水硝酸盐浓度接近标准限值时，精细调整碳源投加量，防止出水超标，保障处理系统始终高效运行，出水水质稳定达标。</w:t>
      </w:r>
    </w:p>
    <w:p w14:paraId="0DC74ADB"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7.2.4 </w:t>
      </w:r>
      <w:r>
        <w:rPr>
          <w:rFonts w:eastAsiaTheme="majorEastAsia" w:cs="宋体" w:hint="eastAsia"/>
          <w:sz w:val="21"/>
          <w:szCs w:val="21"/>
        </w:rPr>
        <w:t>格栅</w:t>
      </w:r>
    </w:p>
    <w:p w14:paraId="318F5A86"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定期检查格栅运行状况并及时清理栅渣，一般每</w:t>
      </w:r>
      <w:r>
        <w:rPr>
          <w:rFonts w:eastAsiaTheme="majorEastAsia" w:cs="宋体" w:hint="eastAsia"/>
          <w:sz w:val="21"/>
          <w:szCs w:val="21"/>
        </w:rPr>
        <w:t>2-4</w:t>
      </w:r>
      <w:r>
        <w:rPr>
          <w:rFonts w:eastAsiaTheme="majorEastAsia" w:cs="宋体" w:hint="eastAsia"/>
          <w:sz w:val="21"/>
          <w:szCs w:val="21"/>
        </w:rPr>
        <w:t>小时检查一次，若进水杂质较多则增加频率。</w:t>
      </w:r>
      <w:r>
        <w:rPr>
          <w:rFonts w:eastAsiaTheme="majorEastAsia" w:cs="宋体" w:hint="eastAsia"/>
          <w:sz w:val="21"/>
          <w:szCs w:val="21"/>
        </w:rPr>
        <w:t>反硝化</w:t>
      </w:r>
      <w:r>
        <w:rPr>
          <w:rFonts w:eastAsiaTheme="majorEastAsia" w:cs="宋体" w:hint="eastAsia"/>
          <w:sz w:val="21"/>
          <w:szCs w:val="21"/>
        </w:rPr>
        <w:t>生物接触池</w:t>
      </w:r>
      <w:r>
        <w:rPr>
          <w:rFonts w:eastAsiaTheme="majorEastAsia" w:cs="宋体" w:hint="eastAsia"/>
          <w:sz w:val="21"/>
          <w:szCs w:val="21"/>
        </w:rPr>
        <w:t>格栅是防止大颗粒杂质进入后续处理单元的第一道防线，栅渣堆积会阻碍水流通过，降低进水效率，甚至可能导致格栅损坏。及时清理栅渣可保证格栅正常运行，维持进水稳定性，保护后续设备免受堵塞和磨损。</w:t>
      </w:r>
    </w:p>
    <w:p w14:paraId="63908B89"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7.2.5 </w:t>
      </w:r>
      <w:r>
        <w:rPr>
          <w:rFonts w:eastAsiaTheme="majorEastAsia" w:cs="宋体" w:hint="eastAsia"/>
          <w:sz w:val="21"/>
          <w:szCs w:val="21"/>
        </w:rPr>
        <w:t>过滤设备</w:t>
      </w:r>
    </w:p>
    <w:p w14:paraId="3B460433"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过滤设备运行期间密切关注过滤阻力变化，当阻力达到一定值时进行反冲洗，反冲洗周期一般为</w:t>
      </w:r>
      <w:r>
        <w:rPr>
          <w:rFonts w:eastAsiaTheme="majorEastAsia" w:cs="宋体" w:hint="eastAsia"/>
          <w:sz w:val="21"/>
          <w:szCs w:val="21"/>
        </w:rPr>
        <w:t>12-24</w:t>
      </w:r>
      <w:r>
        <w:rPr>
          <w:rFonts w:eastAsiaTheme="majorEastAsia" w:cs="宋体" w:hint="eastAsia"/>
          <w:sz w:val="21"/>
          <w:szCs w:val="21"/>
        </w:rPr>
        <w:t>小时，具体根据进水水质和过滤效果确定。随着过滤过程进行，滤料截留杂</w:t>
      </w:r>
      <w:r>
        <w:rPr>
          <w:rFonts w:eastAsiaTheme="majorEastAsia" w:cs="宋体" w:hint="eastAsia"/>
          <w:sz w:val="21"/>
          <w:szCs w:val="21"/>
        </w:rPr>
        <w:lastRenderedPageBreak/>
        <w:t>质增多，过滤阻力增大，若不及时反冲洗，会导致过滤效率降低、出水水质变差。合理确定反冲洗周期可保证过滤设备持续高效运行，反冲洗强度适中</w:t>
      </w:r>
      <w:r>
        <w:rPr>
          <w:rFonts w:eastAsiaTheme="majorEastAsia" w:cs="宋体" w:hint="eastAsia"/>
          <w:sz w:val="21"/>
          <w:szCs w:val="21"/>
        </w:rPr>
        <w:t>可避免滤料流失，确保过滤效果稳定。</w:t>
      </w:r>
    </w:p>
    <w:p w14:paraId="081BF4EB"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7.3 </w:t>
      </w:r>
      <w:r>
        <w:rPr>
          <w:rFonts w:eastAsiaTheme="majorEastAsia" w:cs="宋体" w:hint="eastAsia"/>
          <w:sz w:val="21"/>
          <w:szCs w:val="21"/>
        </w:rPr>
        <w:t>生物反硝化系统运行管理</w:t>
      </w:r>
    </w:p>
    <w:p w14:paraId="338F8D6D"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7.3.1 </w:t>
      </w:r>
      <w:r>
        <w:rPr>
          <w:rFonts w:eastAsiaTheme="majorEastAsia" w:cs="宋体" w:hint="eastAsia"/>
          <w:sz w:val="21"/>
          <w:szCs w:val="21"/>
        </w:rPr>
        <w:t>生物膜法设备</w:t>
      </w:r>
    </w:p>
    <w:p w14:paraId="25314EF7"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定期观察生物膜生长情况，如颜色、厚度、均匀性等，可及时发现生物膜异常（如老化、中毒等）并采取相应措施，如调整运行参数、增加冲洗频率等。反冲洗周期</w:t>
      </w:r>
      <w:r>
        <w:rPr>
          <w:rFonts w:eastAsiaTheme="majorEastAsia" w:cs="宋体" w:hint="eastAsia"/>
          <w:sz w:val="21"/>
          <w:szCs w:val="21"/>
        </w:rPr>
        <w:t>10-20</w:t>
      </w:r>
      <w:r>
        <w:rPr>
          <w:rFonts w:eastAsiaTheme="majorEastAsia" w:cs="宋体" w:hint="eastAsia"/>
          <w:sz w:val="21"/>
          <w:szCs w:val="21"/>
        </w:rPr>
        <w:t>天及适宜的反冲洗强度，可有效清除老化生物膜，促进新生物膜生长，维持生物膜活性和处理效果稳定。</w:t>
      </w:r>
    </w:p>
    <w:p w14:paraId="6FAF0E54"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7.4 </w:t>
      </w:r>
      <w:r>
        <w:rPr>
          <w:rFonts w:eastAsiaTheme="majorEastAsia" w:cs="宋体" w:hint="eastAsia"/>
          <w:sz w:val="21"/>
          <w:szCs w:val="21"/>
        </w:rPr>
        <w:t>后处理系统运行管理</w:t>
      </w:r>
    </w:p>
    <w:p w14:paraId="29C599FD"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7.4.1 </w:t>
      </w:r>
      <w:r>
        <w:rPr>
          <w:rFonts w:eastAsiaTheme="majorEastAsia" w:cs="宋体" w:hint="eastAsia"/>
          <w:sz w:val="21"/>
          <w:szCs w:val="21"/>
        </w:rPr>
        <w:t>好氧处理设备（可选）</w:t>
      </w:r>
    </w:p>
    <w:p w14:paraId="1CB140ED"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若采用好氧处理设备，将溶解氧浓度控制在</w:t>
      </w:r>
      <w:r>
        <w:rPr>
          <w:rFonts w:eastAsiaTheme="majorEastAsia" w:cs="宋体" w:hint="eastAsia"/>
          <w:sz w:val="21"/>
          <w:szCs w:val="21"/>
        </w:rPr>
        <w:t>2-4</w:t>
      </w:r>
      <w:r>
        <w:rPr>
          <w:rFonts w:eastAsiaTheme="majorEastAsia" w:cs="宋体" w:hint="eastAsia"/>
          <w:sz w:val="21"/>
          <w:szCs w:val="21"/>
        </w:rPr>
        <w:t xml:space="preserve"> </w:t>
      </w:r>
      <w:r>
        <w:rPr>
          <w:rFonts w:eastAsiaTheme="majorEastAsia" w:cs="宋体" w:hint="eastAsia"/>
          <w:sz w:val="21"/>
          <w:szCs w:val="21"/>
        </w:rPr>
        <w:t xml:space="preserve">mg/L </w:t>
      </w:r>
      <w:r>
        <w:rPr>
          <w:rFonts w:eastAsiaTheme="majorEastAsia" w:cs="宋体" w:hint="eastAsia"/>
          <w:sz w:val="21"/>
          <w:szCs w:val="21"/>
        </w:rPr>
        <w:t>是满足好氧微生物代谢需求的关键。通过调节曝气设备实现</w:t>
      </w:r>
      <w:r>
        <w:rPr>
          <w:rFonts w:eastAsiaTheme="majorEastAsia" w:cs="宋体" w:hint="eastAsia"/>
          <w:sz w:val="21"/>
          <w:szCs w:val="21"/>
        </w:rPr>
        <w:t>精确控制，可确保好氧处理过程中有机物的有效降解和氨氮的转化。定期检测出水有机物含量、氨氮等指标，根据检测结果调整运行参数，如曝气时间、曝气量等，可保证好氧处理效果稳定，防止因运行参数不当导致出水水质超标，保障整个处理系统出水达标。</w:t>
      </w:r>
    </w:p>
    <w:p w14:paraId="5714788C"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7.4.2 </w:t>
      </w:r>
      <w:r>
        <w:rPr>
          <w:rFonts w:eastAsiaTheme="majorEastAsia" w:cs="宋体" w:hint="eastAsia"/>
          <w:sz w:val="21"/>
          <w:szCs w:val="21"/>
        </w:rPr>
        <w:t>沉淀与过滤设备</w:t>
      </w:r>
    </w:p>
    <w:p w14:paraId="47617265"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二沉池运行时确保表面水力负荷符合设计要求（</w:t>
      </w:r>
      <w:r>
        <w:rPr>
          <w:rFonts w:eastAsiaTheme="majorEastAsia" w:cs="宋体" w:hint="eastAsia"/>
          <w:sz w:val="21"/>
          <w:szCs w:val="21"/>
        </w:rPr>
        <w:t>0.5-0.9</w:t>
      </w:r>
      <w:r>
        <w:rPr>
          <w:rFonts w:eastAsiaTheme="majorEastAsia" w:cs="宋体" w:hint="eastAsia"/>
          <w:sz w:val="21"/>
          <w:szCs w:val="21"/>
        </w:rPr>
        <w:t xml:space="preserve"> </w:t>
      </w:r>
      <w:r>
        <w:rPr>
          <w:rFonts w:eastAsiaTheme="majorEastAsia" w:cs="宋体" w:hint="eastAsia"/>
          <w:sz w:val="21"/>
          <w:szCs w:val="21"/>
        </w:rPr>
        <w:t>m</w:t>
      </w:r>
      <w:r>
        <w:rPr>
          <w:rFonts w:eastAsiaTheme="majorEastAsia" w:cs="宋体" w:hint="eastAsia"/>
          <w:sz w:val="21"/>
          <w:szCs w:val="21"/>
        </w:rPr>
        <w:t>³</w:t>
      </w:r>
      <w:r>
        <w:rPr>
          <w:rFonts w:eastAsiaTheme="majorEastAsia" w:cs="宋体" w:hint="eastAsia"/>
          <w:sz w:val="21"/>
          <w:szCs w:val="21"/>
        </w:rPr>
        <w:t>/(m</w:t>
      </w:r>
      <w:r>
        <w:rPr>
          <w:rFonts w:eastAsiaTheme="majorEastAsia" w:cs="宋体" w:hint="eastAsia"/>
          <w:sz w:val="21"/>
          <w:szCs w:val="21"/>
        </w:rPr>
        <w:t>²·</w:t>
      </w:r>
      <w:r>
        <w:rPr>
          <w:rFonts w:eastAsiaTheme="majorEastAsia" w:cs="宋体" w:hint="eastAsia"/>
          <w:sz w:val="21"/>
          <w:szCs w:val="21"/>
        </w:rPr>
        <w:t>h)</w:t>
      </w:r>
      <w:r>
        <w:rPr>
          <w:rFonts w:eastAsiaTheme="majorEastAsia" w:cs="宋体" w:hint="eastAsia"/>
          <w:sz w:val="21"/>
          <w:szCs w:val="21"/>
        </w:rPr>
        <w:t>）并定期排泥，可保证沉淀效果，防止污泥上浮和出水悬浮物增加。深度过滤设备如活性炭滤池，根据过滤效果和水头损失情况及时反冲洗或更换活性炭，反冲洗周期</w:t>
      </w:r>
      <w:r>
        <w:rPr>
          <w:rFonts w:eastAsiaTheme="majorEastAsia" w:cs="宋体" w:hint="eastAsia"/>
          <w:sz w:val="21"/>
          <w:szCs w:val="21"/>
        </w:rPr>
        <w:t>7-15</w:t>
      </w:r>
      <w:r>
        <w:rPr>
          <w:rFonts w:eastAsiaTheme="majorEastAsia" w:cs="宋体" w:hint="eastAsia"/>
          <w:sz w:val="21"/>
          <w:szCs w:val="21"/>
        </w:rPr>
        <w:t>天。水头损失增加表明滤</w:t>
      </w:r>
      <w:r>
        <w:rPr>
          <w:rFonts w:eastAsiaTheme="majorEastAsia" w:cs="宋体" w:hint="eastAsia"/>
          <w:sz w:val="21"/>
          <w:szCs w:val="21"/>
        </w:rPr>
        <w:t>料堵塞，过滤效果下降，及时反冲洗或更换活性炭可维持过滤设备的过滤性能，确保后处理系统有效去除残留污染物，保障出水水质稳定。</w:t>
      </w:r>
    </w:p>
    <w:p w14:paraId="006E56E0"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7.5 </w:t>
      </w:r>
      <w:r>
        <w:rPr>
          <w:rFonts w:eastAsiaTheme="majorEastAsia" w:cs="宋体" w:hint="eastAsia"/>
          <w:sz w:val="21"/>
          <w:szCs w:val="21"/>
        </w:rPr>
        <w:t>其他配套设备运行管理</w:t>
      </w:r>
    </w:p>
    <w:p w14:paraId="24077C1C"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7.5.1 </w:t>
      </w:r>
      <w:r>
        <w:rPr>
          <w:rFonts w:eastAsiaTheme="majorEastAsia" w:cs="宋体" w:hint="eastAsia"/>
          <w:sz w:val="21"/>
          <w:szCs w:val="21"/>
        </w:rPr>
        <w:t>曝气设备</w:t>
      </w:r>
    </w:p>
    <w:p w14:paraId="4E310282" w14:textId="77777777" w:rsidR="00AB4227" w:rsidRDefault="0048172D">
      <w:pPr>
        <w:pStyle w:val="a1"/>
        <w:adjustRightInd w:val="0"/>
        <w:snapToGrid w:val="0"/>
        <w:spacing w:line="360" w:lineRule="auto"/>
        <w:ind w:firstLineChars="300" w:firstLine="630"/>
        <w:rPr>
          <w:rFonts w:eastAsiaTheme="majorEastAsia" w:cs="宋体"/>
          <w:sz w:val="21"/>
          <w:szCs w:val="21"/>
        </w:rPr>
      </w:pPr>
      <w:r>
        <w:rPr>
          <w:rFonts w:eastAsiaTheme="majorEastAsia" w:cs="宋体" w:hint="eastAsia"/>
          <w:sz w:val="21"/>
          <w:szCs w:val="21"/>
        </w:rPr>
        <w:t>每周检查一次曝气设备运行状况，包括曝气头堵塞情况、风机运行电流和压力等，可确保曝气均匀、稳定。曝气头堵塞会导致曝气不均匀，影响氧气传递效率和微生物代谢；风机运行电流和压力异常可能预示风机故障或供气系统问题。及时清理曝气头或维修风机可保证曝气设备正常运行，维持生物处理单元良好的溶解氧环境，提高处理效果。</w:t>
      </w:r>
    </w:p>
    <w:p w14:paraId="493A0D61"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7.5.2 </w:t>
      </w:r>
      <w:r>
        <w:rPr>
          <w:rFonts w:eastAsiaTheme="majorEastAsia" w:cs="宋体" w:hint="eastAsia"/>
          <w:sz w:val="21"/>
          <w:szCs w:val="21"/>
        </w:rPr>
        <w:t>加药设备</w:t>
      </w:r>
    </w:p>
    <w:p w14:paraId="532023CB"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加药设备保</w:t>
      </w:r>
      <w:r>
        <w:rPr>
          <w:rFonts w:eastAsiaTheme="majorEastAsia" w:cs="宋体" w:hint="eastAsia"/>
          <w:sz w:val="21"/>
          <w:szCs w:val="21"/>
        </w:rPr>
        <w:t>证药剂准确投加并定期校准计量泵（误差在±</w:t>
      </w:r>
      <w:r>
        <w:rPr>
          <w:rFonts w:eastAsiaTheme="majorEastAsia" w:cs="宋体" w:hint="eastAsia"/>
          <w:sz w:val="21"/>
          <w:szCs w:val="21"/>
        </w:rPr>
        <w:t>5%</w:t>
      </w:r>
      <w:r>
        <w:rPr>
          <w:rFonts w:eastAsiaTheme="majorEastAsia" w:cs="宋体" w:hint="eastAsia"/>
          <w:sz w:val="21"/>
          <w:szCs w:val="21"/>
        </w:rPr>
        <w:t>以内），可确保处理过程中化学药剂（如碳源、消毒剂等）的投加量精确控制。及时补充药剂可防止因药剂短缺导致处理效果下降，如碳源不足会使反硝化不完全，消毒剂不足会增加微生物风险。精确投加和充足供应药剂是保障处理系统稳定运行和出水水质达标的关键环节。</w:t>
      </w:r>
    </w:p>
    <w:p w14:paraId="130A0F9F"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7.5.3 </w:t>
      </w:r>
      <w:r>
        <w:rPr>
          <w:rFonts w:eastAsiaTheme="majorEastAsia" w:cs="宋体" w:hint="eastAsia"/>
          <w:sz w:val="21"/>
          <w:szCs w:val="21"/>
        </w:rPr>
        <w:t>反冲洗设备</w:t>
      </w:r>
    </w:p>
    <w:p w14:paraId="0405F752"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lastRenderedPageBreak/>
        <w:t>反冲洗设备运行前检查调试，运行后检查恢复情况，可确保每次反冲洗过程顺利进行且不影响设备后续运行性能。若反冲洗设备故障或反冲洗效果不佳，会导致滤池或填料堵塞，影响处理系统运行效率和出水水质。通过严格的检查和调试程序，保障反冲洗设备可靠运行，维持整个处理系统的稳定运行。</w:t>
      </w:r>
    </w:p>
    <w:p w14:paraId="73EDACDF"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7.5.4 </w:t>
      </w:r>
      <w:r>
        <w:rPr>
          <w:rFonts w:eastAsiaTheme="majorEastAsia" w:cs="宋体" w:hint="eastAsia"/>
          <w:sz w:val="21"/>
          <w:szCs w:val="21"/>
        </w:rPr>
        <w:t>在线监测设备</w:t>
      </w:r>
    </w:p>
    <w:p w14:paraId="000DEE09"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每周校准一次在线监测设备，可保证监测数据的准确性和可靠性。在线监测设备提供实时水质信息，数据不准确会误导运行参数调整，影响处理效果。及时检查维修数据异常的设备，可确保监测数据始终真实反映处理过程水质情况，为科学管理和运</w:t>
      </w:r>
      <w:r>
        <w:rPr>
          <w:rFonts w:eastAsiaTheme="majorEastAsia" w:cs="宋体" w:hint="eastAsia"/>
          <w:sz w:val="21"/>
          <w:szCs w:val="21"/>
        </w:rPr>
        <w:t>行决策提供可靠依据。</w:t>
      </w:r>
    </w:p>
    <w:p w14:paraId="31718F09"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7.5.5 </w:t>
      </w:r>
      <w:r>
        <w:rPr>
          <w:rFonts w:eastAsiaTheme="majorEastAsia" w:cs="宋体" w:hint="eastAsia"/>
          <w:sz w:val="21"/>
          <w:szCs w:val="21"/>
        </w:rPr>
        <w:t>自动化控制系统</w:t>
      </w:r>
    </w:p>
    <w:p w14:paraId="6C8915D9"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定期检查维护自动化控制系统，确保远程控制功能正常和报警系统灵敏可靠，可实现处理系统的高效自动化运行。及时更新软件和程序，可适应处理工艺改进、设备升级等变化，提高系统稳定性和安全性，降低人工管理成本，保障处理系统长期稳定运行。</w:t>
      </w:r>
    </w:p>
    <w:p w14:paraId="62181B8B"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7.6 </w:t>
      </w:r>
      <w:r>
        <w:rPr>
          <w:rFonts w:eastAsiaTheme="majorEastAsia" w:cs="宋体" w:hint="eastAsia"/>
          <w:sz w:val="21"/>
          <w:szCs w:val="21"/>
        </w:rPr>
        <w:t>故障处理</w:t>
      </w:r>
    </w:p>
    <w:p w14:paraId="51E58B1F"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7.6.1 </w:t>
      </w:r>
      <w:r>
        <w:rPr>
          <w:rFonts w:eastAsiaTheme="majorEastAsia" w:cs="宋体" w:hint="eastAsia"/>
          <w:sz w:val="21"/>
          <w:szCs w:val="21"/>
        </w:rPr>
        <w:t>出水硝酸盐超标处理</w:t>
      </w:r>
    </w:p>
    <w:p w14:paraId="6E17061E"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出水硝酸盐超标时排查碳源供应、反硝化时间、微生物活性等因素，是因为这些因素直接影响反硝化效果。碳源不足会限制反硝化反应进行；反硝化时间过短可能导致反应不完全；微生物活性下降会降低处理能力</w:t>
      </w:r>
      <w:r>
        <w:rPr>
          <w:rFonts w:eastAsiaTheme="majorEastAsia" w:cs="宋体" w:hint="eastAsia"/>
          <w:sz w:val="21"/>
          <w:szCs w:val="21"/>
        </w:rPr>
        <w:t>。针对性整改措施如调整碳源投加量、优化水力停留时间、补充菌种或改善微生物生长环境等，可有效解决出水硝酸盐超标问题，确保出水水质达标。设备故障时迅速启用备用设备并及时维修，可减少因设备停机对供水的影响，保障供水连续性。</w:t>
      </w:r>
    </w:p>
    <w:p w14:paraId="04528F49"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7.6.2 </w:t>
      </w:r>
      <w:r>
        <w:rPr>
          <w:rFonts w:eastAsiaTheme="majorEastAsia" w:cs="宋体" w:hint="eastAsia"/>
          <w:sz w:val="21"/>
          <w:szCs w:val="21"/>
        </w:rPr>
        <w:t>原水硝酸盐浓度突然大幅升高处理</w:t>
      </w:r>
    </w:p>
    <w:p w14:paraId="6E4F83A9"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原水硝酸盐浓度突然大幅升高时，临时加大有机碳源投加量至</w:t>
      </w:r>
      <w:r>
        <w:rPr>
          <w:rFonts w:eastAsiaTheme="majorEastAsia" w:cs="宋体" w:hint="eastAsia"/>
          <w:sz w:val="21"/>
          <w:szCs w:val="21"/>
        </w:rPr>
        <w:t>1-2</w:t>
      </w:r>
      <w:r>
        <w:rPr>
          <w:rFonts w:eastAsiaTheme="majorEastAsia" w:cs="宋体" w:hint="eastAsia"/>
          <w:sz w:val="21"/>
          <w:szCs w:val="21"/>
        </w:rPr>
        <w:t>倍并降低进水流量</w:t>
      </w:r>
      <w:r>
        <w:rPr>
          <w:rFonts w:eastAsiaTheme="majorEastAsia" w:cs="宋体" w:hint="eastAsia"/>
          <w:sz w:val="21"/>
          <w:szCs w:val="21"/>
        </w:rPr>
        <w:t>30%-50%</w:t>
      </w:r>
      <w:r>
        <w:rPr>
          <w:rFonts w:eastAsiaTheme="majorEastAsia" w:cs="宋体" w:hint="eastAsia"/>
          <w:sz w:val="21"/>
          <w:szCs w:val="21"/>
        </w:rPr>
        <w:t>，是为了在短时间内调整处理系统运行参数，适应原水水质变化。增加碳源可提供更多电子供体促进反硝化反应，降低进水流量可延长水力停留时间，保障处理效果，防止因原水水质</w:t>
      </w:r>
      <w:r>
        <w:rPr>
          <w:rFonts w:eastAsiaTheme="majorEastAsia" w:cs="宋体" w:hint="eastAsia"/>
          <w:sz w:val="21"/>
          <w:szCs w:val="21"/>
        </w:rPr>
        <w:t>突变导致出水硝酸盐超标，维持处理系统的稳定性和可靠性。</w:t>
      </w:r>
    </w:p>
    <w:p w14:paraId="7B7AE7AC"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8. </w:t>
      </w:r>
      <w:r>
        <w:rPr>
          <w:rFonts w:eastAsiaTheme="majorEastAsia" w:cs="宋体" w:hint="eastAsia"/>
          <w:sz w:val="21"/>
          <w:szCs w:val="21"/>
        </w:rPr>
        <w:t>监测</w:t>
      </w:r>
    </w:p>
    <w:p w14:paraId="3516A64C"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8.1 </w:t>
      </w:r>
      <w:r>
        <w:rPr>
          <w:rFonts w:eastAsiaTheme="majorEastAsia" w:cs="宋体" w:hint="eastAsia"/>
          <w:sz w:val="21"/>
          <w:szCs w:val="21"/>
        </w:rPr>
        <w:t>进水监测</w:t>
      </w:r>
    </w:p>
    <w:p w14:paraId="40F69258"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每</w:t>
      </w:r>
      <w:r>
        <w:rPr>
          <w:rFonts w:eastAsiaTheme="majorEastAsia" w:cs="宋体" w:hint="eastAsia"/>
          <w:sz w:val="21"/>
          <w:szCs w:val="21"/>
        </w:rPr>
        <w:t>4</w:t>
      </w:r>
      <w:r>
        <w:rPr>
          <w:rFonts w:eastAsiaTheme="majorEastAsia" w:cs="宋体" w:hint="eastAsia"/>
          <w:sz w:val="21"/>
          <w:szCs w:val="21"/>
        </w:rPr>
        <w:t>小时测定一次硝酸盐氮、亚硝酸盐氮、化学需氧量（</w:t>
      </w:r>
      <w:r>
        <w:rPr>
          <w:rFonts w:eastAsiaTheme="majorEastAsia" w:cs="宋体" w:hint="eastAsia"/>
          <w:sz w:val="21"/>
          <w:szCs w:val="21"/>
        </w:rPr>
        <w:t>COD</w:t>
      </w:r>
      <w:r>
        <w:rPr>
          <w:rFonts w:eastAsiaTheme="majorEastAsia" w:cs="宋体" w:hint="eastAsia"/>
          <w:sz w:val="21"/>
          <w:szCs w:val="21"/>
        </w:rPr>
        <w:t>）、</w:t>
      </w:r>
      <w:r>
        <w:rPr>
          <w:rFonts w:eastAsiaTheme="majorEastAsia" w:cs="宋体" w:hint="eastAsia"/>
          <w:sz w:val="21"/>
          <w:szCs w:val="21"/>
        </w:rPr>
        <w:t>pH</w:t>
      </w:r>
      <w:r>
        <w:rPr>
          <w:rFonts w:eastAsiaTheme="majorEastAsia" w:cs="宋体" w:hint="eastAsia"/>
          <w:sz w:val="21"/>
          <w:szCs w:val="21"/>
        </w:rPr>
        <w:t>、水温等指标，是因为这些参数能全面反映原水水质状况及其波动情况。硝酸盐氮和亚硝酸盐氮含量直接关系到处理目标的实现；</w:t>
      </w:r>
      <w:r>
        <w:rPr>
          <w:rFonts w:eastAsiaTheme="majorEastAsia" w:cs="宋体" w:hint="eastAsia"/>
          <w:sz w:val="21"/>
          <w:szCs w:val="21"/>
        </w:rPr>
        <w:t>COD</w:t>
      </w:r>
      <w:r>
        <w:rPr>
          <w:rFonts w:eastAsiaTheme="majorEastAsia" w:cs="宋体" w:hint="eastAsia"/>
          <w:sz w:val="21"/>
          <w:szCs w:val="21"/>
        </w:rPr>
        <w:t>可表征水中有机物含量，影响生物处理过程中微生物的代谢与碳源需求；</w:t>
      </w:r>
      <w:r>
        <w:rPr>
          <w:rFonts w:eastAsiaTheme="majorEastAsia" w:cs="宋体" w:hint="eastAsia"/>
          <w:sz w:val="21"/>
          <w:szCs w:val="21"/>
        </w:rPr>
        <w:t xml:space="preserve">pH </w:t>
      </w:r>
      <w:r>
        <w:rPr>
          <w:rFonts w:eastAsiaTheme="majorEastAsia" w:cs="宋体" w:hint="eastAsia"/>
          <w:sz w:val="21"/>
          <w:szCs w:val="21"/>
        </w:rPr>
        <w:t>和水温对微生物活性及化学反应速率有显著影响。频繁监测有助于及时掌握原水水质变化趋势，为后续处理工艺调整提供及时、准确的基础数据，确保处理工艺始终适配原水水质特性，保障处理效果稳定。</w:t>
      </w:r>
    </w:p>
    <w:p w14:paraId="4E59008D"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8.2 </w:t>
      </w:r>
      <w:r>
        <w:rPr>
          <w:rFonts w:eastAsiaTheme="majorEastAsia" w:cs="宋体" w:hint="eastAsia"/>
          <w:sz w:val="21"/>
          <w:szCs w:val="21"/>
        </w:rPr>
        <w:t>过程监测</w:t>
      </w:r>
    </w:p>
    <w:p w14:paraId="4776FF1C"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lastRenderedPageBreak/>
        <w:t>在生物反硝化池进出口、好氧池出口等关键部位安装在线监测仪实</w:t>
      </w:r>
      <w:r>
        <w:rPr>
          <w:rFonts w:eastAsiaTheme="majorEastAsia" w:cs="宋体" w:hint="eastAsia"/>
          <w:sz w:val="21"/>
          <w:szCs w:val="21"/>
        </w:rPr>
        <w:t>时监测硝酸盐氮、溶解氧等关键参数，并传输至中控室，这是实现处理过程</w:t>
      </w:r>
      <w:r>
        <w:rPr>
          <w:rFonts w:eastAsiaTheme="majorEastAsia" w:cs="宋体" w:hint="eastAsia"/>
          <w:sz w:val="21"/>
          <w:szCs w:val="21"/>
        </w:rPr>
        <w:t>严格控制</w:t>
      </w:r>
      <w:r>
        <w:rPr>
          <w:rFonts w:eastAsiaTheme="majorEastAsia" w:cs="宋体" w:hint="eastAsia"/>
          <w:sz w:val="21"/>
          <w:szCs w:val="21"/>
        </w:rPr>
        <w:t>的关键措施。通过实时监测这些参数，操作人员可即时了解各处理单元的运行状态和处理效果，如生物反硝化池内硝酸盐氮的去除情况、好氧池的硝化效果及溶解氧是否满足微生物需求等。一旦发现参数异常，能迅速采取调整措施，避免因处理过程失控导致出水水质恶化，保障处理系统高效稳定运行，提高处理效率和可靠性。</w:t>
      </w:r>
    </w:p>
    <w:p w14:paraId="3B259F80"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8.3 </w:t>
      </w:r>
      <w:r>
        <w:rPr>
          <w:rFonts w:eastAsiaTheme="majorEastAsia" w:cs="宋体" w:hint="eastAsia"/>
          <w:sz w:val="21"/>
          <w:szCs w:val="21"/>
        </w:rPr>
        <w:t>出水监测</w:t>
      </w:r>
    </w:p>
    <w:p w14:paraId="2D64D289"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严格按照《生活饮用水卫生标准》每日全分析检测水质，涵盖硝酸盐氮、亚硝酸盐氮、微生物指标、感官性状、毒理学指标等，这是确保饮用水安全</w:t>
      </w:r>
      <w:r>
        <w:rPr>
          <w:rFonts w:eastAsiaTheme="majorEastAsia" w:cs="宋体" w:hint="eastAsia"/>
          <w:sz w:val="21"/>
          <w:szCs w:val="21"/>
        </w:rPr>
        <w:t>达标的核心环节。出水水质直接关乎公众健康，全面检测各项指标可严格把控处理后水的质量，杜绝任何潜在风险。微生物指标检测可防止致病微生物污染；感官性状指标确保水无异味、异色和浑浊等不良现象；毒理学指标保障水中无有害化学物质残留。通过每日全分析检测，持续监督出水水质，为公众提供安全可靠的饮用水。</w:t>
      </w:r>
    </w:p>
    <w:p w14:paraId="0FED8DDE"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8.4 </w:t>
      </w:r>
      <w:r>
        <w:rPr>
          <w:rFonts w:eastAsiaTheme="majorEastAsia" w:cs="宋体" w:hint="eastAsia"/>
          <w:sz w:val="21"/>
          <w:szCs w:val="21"/>
        </w:rPr>
        <w:t>监测点</w:t>
      </w:r>
    </w:p>
    <w:p w14:paraId="276824B0"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8.4.1 </w:t>
      </w:r>
      <w:r>
        <w:rPr>
          <w:rFonts w:eastAsiaTheme="majorEastAsia" w:cs="宋体" w:hint="eastAsia"/>
          <w:sz w:val="21"/>
          <w:szCs w:val="21"/>
        </w:rPr>
        <w:t>进水口</w:t>
      </w:r>
    </w:p>
    <w:p w14:paraId="61543FC3"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进水口监测原水水质状况，其数据是整个处理工艺调整的基石。原水水质的变化可能要求对处理工艺参数（如预处理强度、碳源投加量、水力停留时间等）进行相应调整。通过对进水口水质的持续监测，能及时</w:t>
      </w:r>
      <w:r>
        <w:rPr>
          <w:rFonts w:eastAsiaTheme="majorEastAsia" w:cs="宋体" w:hint="eastAsia"/>
          <w:sz w:val="21"/>
          <w:szCs w:val="21"/>
        </w:rPr>
        <w:t>发现原水水质的异常波动，为提前采取应对措施提供依据，确保处理系统在不同原水水质条件下都能稳定运行，有效去除硝酸盐及其他污染物，保障处理效果。</w:t>
      </w:r>
    </w:p>
    <w:p w14:paraId="781F1525"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8.4.2 </w:t>
      </w:r>
      <w:r>
        <w:rPr>
          <w:rFonts w:eastAsiaTheme="majorEastAsia" w:cs="宋体" w:hint="eastAsia"/>
          <w:sz w:val="21"/>
          <w:szCs w:val="21"/>
        </w:rPr>
        <w:t>生物处理各单元进出口</w:t>
      </w:r>
    </w:p>
    <w:p w14:paraId="5B7B2F91"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在生物处理各单元进出口设置监测点，有助于深入了解各处理单元的处理效果和运行效率。通过对比进出口水质参数，可直观判断该单元对污染物的去除能力和可能存在的问题环节。例如，生物反硝化池进出口硝酸盐氮浓度的变化能直接反映反硝化反应的进行程度；好氧池进出口氨氮、溶解氧等指标的差异可评估硝化反应效果。及时掌握这些信息，便于针对性地优化各处理单元运</w:t>
      </w:r>
      <w:r>
        <w:rPr>
          <w:rFonts w:eastAsiaTheme="majorEastAsia" w:cs="宋体" w:hint="eastAsia"/>
          <w:sz w:val="21"/>
          <w:szCs w:val="21"/>
        </w:rPr>
        <w:t>行参数，提高整个处理系统的处理效能，确保各单元协同工作，实现达标排放。</w:t>
      </w:r>
    </w:p>
    <w:p w14:paraId="1FDCA2B9"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8.4.3 </w:t>
      </w:r>
      <w:r>
        <w:rPr>
          <w:rFonts w:eastAsiaTheme="majorEastAsia" w:cs="宋体" w:hint="eastAsia"/>
          <w:sz w:val="21"/>
          <w:szCs w:val="21"/>
        </w:rPr>
        <w:t>出水口</w:t>
      </w:r>
    </w:p>
    <w:p w14:paraId="6E5B4CE6"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出水口监测确保出水水质符合饮用水标准，</w:t>
      </w:r>
      <w:r>
        <w:rPr>
          <w:rFonts w:eastAsiaTheme="majorEastAsia" w:cs="宋体" w:hint="eastAsia"/>
          <w:sz w:val="21"/>
          <w:szCs w:val="21"/>
        </w:rPr>
        <w:t>出水水质达标的最终保障</w:t>
      </w:r>
      <w:r>
        <w:rPr>
          <w:rFonts w:eastAsiaTheme="majorEastAsia" w:cs="宋体" w:hint="eastAsia"/>
          <w:sz w:val="21"/>
          <w:szCs w:val="21"/>
        </w:rPr>
        <w:t>。只有经过严格检测且达标后的水才能进入供水系统供用户使用。持续监测出水口水质，一旦发现水质超标，立即启动应急处理程序，停止供水并排查原因，防止不合格水进入供水管网，避免对公众健康造成潜在威胁，</w:t>
      </w:r>
      <w:r>
        <w:rPr>
          <w:rFonts w:eastAsiaTheme="majorEastAsia" w:cs="宋体" w:hint="eastAsia"/>
          <w:sz w:val="21"/>
          <w:szCs w:val="21"/>
        </w:rPr>
        <w:t>保障</w:t>
      </w:r>
      <w:r>
        <w:rPr>
          <w:rFonts w:eastAsiaTheme="majorEastAsia" w:cs="宋体" w:hint="eastAsia"/>
          <w:sz w:val="21"/>
          <w:szCs w:val="21"/>
        </w:rPr>
        <w:t>供水安全。</w:t>
      </w:r>
    </w:p>
    <w:p w14:paraId="3FA20E83"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8.5 </w:t>
      </w:r>
      <w:r>
        <w:rPr>
          <w:rFonts w:eastAsiaTheme="majorEastAsia" w:cs="宋体" w:hint="eastAsia"/>
          <w:sz w:val="21"/>
          <w:szCs w:val="21"/>
        </w:rPr>
        <w:t>监测频率</w:t>
      </w:r>
    </w:p>
    <w:p w14:paraId="47139447"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进水硝酸盐氮每</w:t>
      </w:r>
      <w:r>
        <w:rPr>
          <w:rFonts w:eastAsiaTheme="majorEastAsia" w:cs="宋体" w:hint="eastAsia"/>
          <w:sz w:val="21"/>
          <w:szCs w:val="21"/>
        </w:rPr>
        <w:t>4</w:t>
      </w:r>
      <w:r>
        <w:rPr>
          <w:rFonts w:eastAsiaTheme="majorEastAsia" w:cs="宋体" w:hint="eastAsia"/>
          <w:sz w:val="21"/>
          <w:szCs w:val="21"/>
        </w:rPr>
        <w:t>小时一次的监测频率，既能及时捕捉原水硝酸盐氮含量的变化，又在</w:t>
      </w:r>
      <w:r>
        <w:rPr>
          <w:rFonts w:eastAsiaTheme="majorEastAsia" w:cs="宋体" w:hint="eastAsia"/>
          <w:sz w:val="21"/>
          <w:szCs w:val="21"/>
        </w:rPr>
        <w:lastRenderedPageBreak/>
        <w:t>一定程度上平衡了监测成本与数据时效性。出水硝酸盐氮每</w:t>
      </w:r>
      <w:r>
        <w:rPr>
          <w:rFonts w:eastAsiaTheme="majorEastAsia" w:cs="宋体" w:hint="eastAsia"/>
          <w:sz w:val="21"/>
          <w:szCs w:val="21"/>
        </w:rPr>
        <w:t>2</w:t>
      </w:r>
      <w:r>
        <w:rPr>
          <w:rFonts w:eastAsiaTheme="majorEastAsia" w:cs="宋体" w:hint="eastAsia"/>
          <w:sz w:val="21"/>
          <w:szCs w:val="21"/>
        </w:rPr>
        <w:t>小时</w:t>
      </w:r>
      <w:r>
        <w:rPr>
          <w:rFonts w:eastAsiaTheme="majorEastAsia" w:cs="宋体" w:hint="eastAsia"/>
          <w:sz w:val="21"/>
          <w:szCs w:val="21"/>
        </w:rPr>
        <w:t>一次的监测频率相对较高，是因为其直接反映处理效果，对保障出水水质至关重要，更频繁的监测可快速发现处理过程中的异常并及时调整。微生物指标每日一次的监测频率是基于微生物生长繁殖和传播的特性确定的，在保障及时发现微生物风险的同时，合理分配了监测资源。其他水质常规指标每日一次的监测频率可全面掌握出水水质的综合情况，确保各项指标符合饮用水标准，为公众提供安全的饮用水。</w:t>
      </w:r>
    </w:p>
    <w:p w14:paraId="552C35B8"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 </w:t>
      </w:r>
      <w:r>
        <w:rPr>
          <w:rFonts w:eastAsiaTheme="majorEastAsia" w:cs="宋体" w:hint="eastAsia"/>
          <w:sz w:val="21"/>
          <w:szCs w:val="21"/>
        </w:rPr>
        <w:t>质量控制</w:t>
      </w:r>
    </w:p>
    <w:p w14:paraId="1C15AA17"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9.1 </w:t>
      </w:r>
      <w:r>
        <w:rPr>
          <w:rFonts w:eastAsiaTheme="majorEastAsia" w:cs="宋体" w:hint="eastAsia"/>
          <w:sz w:val="21"/>
          <w:szCs w:val="21"/>
        </w:rPr>
        <w:t>微生物质量控制</w:t>
      </w:r>
    </w:p>
    <w:p w14:paraId="062AEA75"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9.1.1 </w:t>
      </w:r>
      <w:r>
        <w:rPr>
          <w:rFonts w:eastAsiaTheme="majorEastAsia" w:cs="宋体" w:hint="eastAsia"/>
          <w:sz w:val="21"/>
          <w:szCs w:val="21"/>
        </w:rPr>
        <w:t>菌种选择与保存</w:t>
      </w:r>
    </w:p>
    <w:p w14:paraId="37714386"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选择具有高效反硝化能力、适应处理水质和环境条件的微生物菌种是确保处理效果的关键因素。不同的水源水质和处理工艺环境对微生物菌种的要求各异，只有适配的菌种才能在处理系统中良好生长和发挥作用。定期对菌种进行筛选、鉴定和复壮，能够保持其优良的性状和活性。例如，通过筛选可以去除活性降低或发生变异的菌种，确保处理系统中微生物种群的高效性。采用低温保存、冻干保存等适宜的保存方法，可以减缓菌种的代谢速率，防止其因环境因素导致退化和变异，延长菌种的使用寿命，保证在需要时能够提供高质量的菌种用于处理系统的启动、补充或优化，维持</w:t>
      </w:r>
      <w:r>
        <w:rPr>
          <w:rFonts w:eastAsiaTheme="majorEastAsia" w:cs="宋体" w:hint="eastAsia"/>
          <w:sz w:val="21"/>
          <w:szCs w:val="21"/>
        </w:rPr>
        <w:t>处理系统的稳定运行和处理效果。</w:t>
      </w:r>
    </w:p>
    <w:p w14:paraId="0F384E4A"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9.1.2 </w:t>
      </w:r>
      <w:r>
        <w:rPr>
          <w:rFonts w:eastAsiaTheme="majorEastAsia" w:cs="宋体" w:hint="eastAsia"/>
          <w:sz w:val="21"/>
          <w:szCs w:val="21"/>
        </w:rPr>
        <w:t>微生物数量监测</w:t>
      </w:r>
    </w:p>
    <w:p w14:paraId="7E2021DB"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定期对处理系统中的微生物数量进行监测，包括反硝化细菌、硝化细菌等关键微生物的数量，是保障处理效果的重要手段。微生物数量直接影响处理效率，数量过少可能导致处理能力不足，无法有效去除硝酸盐等污染物；数量过多则可能引发微生物代谢失衡、竞争加剧等问题，影响处理效果和系统稳定性。采用平板计数法、</w:t>
      </w:r>
      <w:r>
        <w:rPr>
          <w:rFonts w:eastAsiaTheme="majorEastAsia" w:cs="宋体" w:hint="eastAsia"/>
          <w:sz w:val="21"/>
          <w:szCs w:val="21"/>
        </w:rPr>
        <w:t>MPN</w:t>
      </w:r>
      <w:r>
        <w:rPr>
          <w:rFonts w:eastAsiaTheme="majorEastAsia" w:cs="宋体" w:hint="eastAsia"/>
          <w:sz w:val="21"/>
          <w:szCs w:val="21"/>
        </w:rPr>
        <w:t>法等科学的检测方法，可以准确测定微生物数量，为判断处理系统的运行状态提供量化依据。根据监测结果，当微生物数量偏离有效处理所需的水平时，可以及时采取相应措施，如补</w:t>
      </w:r>
      <w:r>
        <w:rPr>
          <w:rFonts w:eastAsiaTheme="majorEastAsia" w:cs="宋体" w:hint="eastAsia"/>
          <w:sz w:val="21"/>
          <w:szCs w:val="21"/>
        </w:rPr>
        <w:t>充菌种、调整营养物质投加量等，确保微生物数量维持在适宜范围内，保障处理系统的高效稳定运行。</w:t>
      </w:r>
    </w:p>
    <w:p w14:paraId="31BFB882"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9.1.3 </w:t>
      </w:r>
      <w:r>
        <w:rPr>
          <w:rFonts w:eastAsiaTheme="majorEastAsia" w:cs="宋体" w:hint="eastAsia"/>
          <w:sz w:val="21"/>
          <w:szCs w:val="21"/>
        </w:rPr>
        <w:t>微生物活性检测</w:t>
      </w:r>
    </w:p>
    <w:p w14:paraId="23162713"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通过检测微生物的代谢活性，如测定反硝化酶的活性、硝化速率等，能够更深入地评估微生物的处理能力。微生物活性是反映处理系统运行状况的敏感指标，活性下降可能预示着微生物受到环境因素（如温度、</w:t>
      </w:r>
      <w:r>
        <w:rPr>
          <w:rFonts w:eastAsiaTheme="majorEastAsia" w:cs="宋体" w:hint="eastAsia"/>
          <w:sz w:val="21"/>
          <w:szCs w:val="21"/>
        </w:rPr>
        <w:t>pH</w:t>
      </w:r>
      <w:r>
        <w:rPr>
          <w:rFonts w:eastAsiaTheme="majorEastAsia" w:cs="宋体" w:hint="eastAsia"/>
          <w:sz w:val="21"/>
          <w:szCs w:val="21"/>
        </w:rPr>
        <w:t>值、毒性物质等）的抑制，或者营养物质供应不足、代谢产物积累等问题。及时发现微生物活性下降的情况，并采取调整营养物质投加量、改善处理环境等针对性措施，可以迅速恢复微生物的活性，确保处理系统的处理效果不受影响</w:t>
      </w:r>
      <w:r>
        <w:rPr>
          <w:rFonts w:eastAsiaTheme="majorEastAsia" w:cs="宋体" w:hint="eastAsia"/>
          <w:sz w:val="21"/>
          <w:szCs w:val="21"/>
        </w:rPr>
        <w:t>。例如，当检测到反硝化酶活性降低时，可以适当增加碳源投加量或优化碳源种类，为微生物提供更充足的能量和电子供体，促进反硝化反应的进行。</w:t>
      </w:r>
    </w:p>
    <w:p w14:paraId="23E5C132"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9.1.4 </w:t>
      </w:r>
      <w:r>
        <w:rPr>
          <w:rFonts w:eastAsiaTheme="majorEastAsia" w:cs="宋体" w:hint="eastAsia"/>
          <w:sz w:val="21"/>
          <w:szCs w:val="21"/>
        </w:rPr>
        <w:t>活性检测频率及应对措施</w:t>
      </w:r>
    </w:p>
    <w:p w14:paraId="403164F8"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每月至少检测一次反硝化细菌、硝化细菌活性，这是基于微生物活性变化的一般规律和</w:t>
      </w:r>
      <w:r>
        <w:rPr>
          <w:rFonts w:eastAsiaTheme="majorEastAsia" w:cs="宋体" w:hint="eastAsia"/>
          <w:sz w:val="21"/>
          <w:szCs w:val="21"/>
        </w:rPr>
        <w:lastRenderedPageBreak/>
        <w:t>处理系统的运行周期确定的。在这个时间间隔内，能够及时捕捉到微生物活性的显著变化，又不会造成过高的检测成本。当活性降低</w:t>
      </w:r>
      <w:r>
        <w:rPr>
          <w:rFonts w:eastAsiaTheme="majorEastAsia" w:cs="宋体" w:hint="eastAsia"/>
          <w:sz w:val="21"/>
          <w:szCs w:val="21"/>
        </w:rPr>
        <w:t>20%</w:t>
      </w:r>
      <w:r>
        <w:rPr>
          <w:rFonts w:eastAsiaTheme="majorEastAsia" w:cs="宋体" w:hint="eastAsia"/>
          <w:sz w:val="21"/>
          <w:szCs w:val="21"/>
        </w:rPr>
        <w:t>以上时，表明微生物处理能力已受到较大影响，需要及时补充菌种或调整运行条件。补充菌种可以引入具有更高活性的微生物，增强处理系统的处理能力；调整运行</w:t>
      </w:r>
      <w:r>
        <w:rPr>
          <w:rFonts w:eastAsiaTheme="majorEastAsia" w:cs="宋体" w:hint="eastAsia"/>
          <w:sz w:val="21"/>
          <w:szCs w:val="21"/>
        </w:rPr>
        <w:t>条件，如优化水力停留时间、调节溶解氧浓度、改善营养物质配比等，可以为微生物创造更适宜的生长环境，恢复其活性，保障处理系统的稳定运行和处理效果的持续性。</w:t>
      </w:r>
    </w:p>
    <w:p w14:paraId="41FB54B6"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9.2 </w:t>
      </w:r>
      <w:r>
        <w:rPr>
          <w:rFonts w:eastAsiaTheme="majorEastAsia" w:cs="宋体" w:hint="eastAsia"/>
          <w:sz w:val="21"/>
          <w:szCs w:val="21"/>
        </w:rPr>
        <w:t>水质质量控制</w:t>
      </w:r>
    </w:p>
    <w:p w14:paraId="61EDA30E"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9.2.1 </w:t>
      </w:r>
      <w:r>
        <w:rPr>
          <w:rFonts w:eastAsiaTheme="majorEastAsia" w:cs="宋体" w:hint="eastAsia"/>
          <w:sz w:val="21"/>
          <w:szCs w:val="21"/>
        </w:rPr>
        <w:t>全过程水质控制目标</w:t>
      </w:r>
    </w:p>
    <w:p w14:paraId="7495413A"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处理全过程严格控制各环节水质，防止二次污染，这是保障最终出水硝酸盐氮含量符合标准且其他各项指标满足饮用水要求的核心原则。从原水进入处理系统开始，每一个处理步骤都可能对水质产生影响，如果在某个环节出现疏忽，可能导致污染物的积累、交叉污染或处理效果的逆转。例如，在生物处理过程中，如果微生物代谢产物不能及时清除</w:t>
      </w:r>
      <w:r>
        <w:rPr>
          <w:rFonts w:eastAsiaTheme="majorEastAsia" w:cs="宋体" w:hint="eastAsia"/>
          <w:sz w:val="21"/>
          <w:szCs w:val="21"/>
        </w:rPr>
        <w:t>或处理设备发生泄漏，可能会使水中的有机物、微生物或其他有害物质增加，影响出水水质。因此，通过严格控制各环节水质，确保每一个处理单元都能按照设计要求运行，实现对水质的有效净化，最终为用户提供安全、健康的饮用水。</w:t>
      </w:r>
    </w:p>
    <w:p w14:paraId="1CF4328D"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9.2.2 </w:t>
      </w:r>
      <w:r>
        <w:rPr>
          <w:rFonts w:eastAsiaTheme="majorEastAsia" w:cs="宋体" w:hint="eastAsia"/>
          <w:sz w:val="21"/>
          <w:szCs w:val="21"/>
        </w:rPr>
        <w:t>进水水质监测与工艺调整</w:t>
      </w:r>
    </w:p>
    <w:p w14:paraId="5F441507"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在原水进入处理系统之前，全面监测硝酸盐含量、</w:t>
      </w:r>
      <w:r>
        <w:rPr>
          <w:rFonts w:eastAsiaTheme="majorEastAsia" w:cs="宋体" w:hint="eastAsia"/>
          <w:sz w:val="21"/>
          <w:szCs w:val="21"/>
        </w:rPr>
        <w:t>pH</w:t>
      </w:r>
      <w:r>
        <w:rPr>
          <w:rFonts w:eastAsiaTheme="majorEastAsia" w:cs="宋体" w:hint="eastAsia"/>
          <w:sz w:val="21"/>
          <w:szCs w:val="21"/>
        </w:rPr>
        <w:t>值、溶解氧、温度、有机物含量等指标，是为了准确了解原水的水质特性，为后续处理工艺参数的确定提供依据。不同的原水水质需要不同的处理策略，例如，原水有机物含量高时，可能需要在预处理阶段增加除有机物的措施，或者在生物处理过程</w:t>
      </w:r>
      <w:r>
        <w:rPr>
          <w:rFonts w:eastAsiaTheme="majorEastAsia" w:cs="宋体" w:hint="eastAsia"/>
          <w:sz w:val="21"/>
          <w:szCs w:val="21"/>
        </w:rPr>
        <w:t>中合理调整碳源投加量；原水</w:t>
      </w:r>
      <w:r>
        <w:rPr>
          <w:rFonts w:eastAsiaTheme="majorEastAsia" w:cs="宋体" w:hint="eastAsia"/>
          <w:sz w:val="21"/>
          <w:szCs w:val="21"/>
        </w:rPr>
        <w:t>pH</w:t>
      </w:r>
      <w:r>
        <w:rPr>
          <w:rFonts w:eastAsiaTheme="majorEastAsia" w:cs="宋体" w:hint="eastAsia"/>
          <w:sz w:val="21"/>
          <w:szCs w:val="21"/>
        </w:rPr>
        <w:t>值异常时，可能需要进行酸碱调节预处理，以确保微生物生长环境适宜。根据进水水质的变化及时调整处理工艺参数，可以使处理系统始终处于最佳运行状态，提高处理效率，降低处理成本，保障出水水质达标。</w:t>
      </w:r>
    </w:p>
    <w:p w14:paraId="51E78429"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9.2.3 </w:t>
      </w:r>
      <w:r>
        <w:rPr>
          <w:rFonts w:eastAsiaTheme="majorEastAsia" w:cs="宋体" w:hint="eastAsia"/>
          <w:sz w:val="21"/>
          <w:szCs w:val="21"/>
        </w:rPr>
        <w:t>处理过程中的水质监测</w:t>
      </w:r>
    </w:p>
    <w:p w14:paraId="39C5F1D6"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在生物处理的各个环节设置监测点，实时监测硝酸盐氮、亚硝酸盐氮、氨氮、溶解氧、</w:t>
      </w:r>
      <w:r>
        <w:rPr>
          <w:rFonts w:eastAsiaTheme="majorEastAsia" w:cs="宋体" w:hint="eastAsia"/>
          <w:sz w:val="21"/>
          <w:szCs w:val="21"/>
        </w:rPr>
        <w:t>pH</w:t>
      </w:r>
      <w:r>
        <w:rPr>
          <w:rFonts w:eastAsiaTheme="majorEastAsia" w:cs="宋体" w:hint="eastAsia"/>
          <w:sz w:val="21"/>
          <w:szCs w:val="21"/>
        </w:rPr>
        <w:t>值等指标，是为了确保处理过程按预期进行。这些指标的变化反映了处理过程中微生物的代谢活动和化学反应的进程。例如，硝酸盐氮和亚硝酸盐氮浓度的降低表明反硝化反应正常进行；氨氮浓度的变化反</w:t>
      </w:r>
      <w:r>
        <w:rPr>
          <w:rFonts w:eastAsiaTheme="majorEastAsia" w:cs="宋体" w:hint="eastAsia"/>
          <w:sz w:val="21"/>
          <w:szCs w:val="21"/>
        </w:rPr>
        <w:t>映了硝化反应的效果；溶解氧浓度的高低影响微生物的呼吸作用和代谢途径；</w:t>
      </w:r>
      <w:r>
        <w:rPr>
          <w:rFonts w:eastAsiaTheme="majorEastAsia" w:cs="宋体" w:hint="eastAsia"/>
          <w:sz w:val="21"/>
          <w:szCs w:val="21"/>
        </w:rPr>
        <w:t xml:space="preserve">pH </w:t>
      </w:r>
      <w:r>
        <w:rPr>
          <w:rFonts w:eastAsiaTheme="majorEastAsia" w:cs="宋体" w:hint="eastAsia"/>
          <w:sz w:val="21"/>
          <w:szCs w:val="21"/>
        </w:rPr>
        <w:t>值的稳定是微生物生长和酶活性维持的关键。通过实时监测这些指标，一旦发现处理过程中出现异常情况，如反硝化反应受阻、硝化反应过度或微生物生长受抑制等，可以及时采取措施进行调整，如调整曝气设备、补充营养物质、调节水力停留时间等，确保处理过程的稳定性和有效性，保障最终出水水质达标。</w:t>
      </w:r>
    </w:p>
    <w:p w14:paraId="79DB6984"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9.2.4 </w:t>
      </w:r>
      <w:r>
        <w:rPr>
          <w:rFonts w:eastAsiaTheme="majorEastAsia" w:cs="宋体" w:hint="eastAsia"/>
          <w:sz w:val="21"/>
          <w:szCs w:val="21"/>
        </w:rPr>
        <w:t>出水水质监测与长期机制</w:t>
      </w:r>
    </w:p>
    <w:p w14:paraId="716BF7CB"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严格按照《生活饮用水卫生标准》（</w:t>
      </w:r>
      <w:r>
        <w:rPr>
          <w:rFonts w:eastAsiaTheme="majorEastAsia" w:cs="宋体" w:hint="eastAsia"/>
          <w:sz w:val="21"/>
          <w:szCs w:val="21"/>
        </w:rPr>
        <w:t>GB 5749-2022</w:t>
      </w:r>
      <w:r>
        <w:rPr>
          <w:rFonts w:eastAsiaTheme="majorEastAsia" w:cs="宋体" w:hint="eastAsia"/>
          <w:sz w:val="21"/>
          <w:szCs w:val="21"/>
        </w:rPr>
        <w:t>）等相关标准对处理后的出水进行全</w:t>
      </w:r>
      <w:r>
        <w:rPr>
          <w:rFonts w:eastAsiaTheme="majorEastAsia" w:cs="宋体" w:hint="eastAsia"/>
          <w:sz w:val="21"/>
          <w:szCs w:val="21"/>
        </w:rPr>
        <w:lastRenderedPageBreak/>
        <w:t>面检测，包括微生物指标、毒理指标等，是</w:t>
      </w:r>
      <w:r>
        <w:rPr>
          <w:rFonts w:eastAsiaTheme="majorEastAsia" w:cs="宋体" w:hint="eastAsia"/>
          <w:sz w:val="21"/>
          <w:szCs w:val="21"/>
        </w:rPr>
        <w:t>保障出水水质安全达标的最后把关环节。微生物指标的检测可以防止致病微生物的传播，毒理指标的检测可以避免水中有害物质对人体的慢性危害。建立出水水质的长期监测机制，定期对出水进行抽检和复查，是为了确保处理系统的长期稳定性和可靠性。随着时间的推移，处理系统可能会受到设备老化、微生物群落变化、原水水质波动等因素的影响，导致处理效果出现波动。通过长期监测，可以及时发现这些潜在问题，采取相应措施进行修复和优化，保障出水水质始终符合标准要求，为公众提供持续可靠的饮用水供应。</w:t>
      </w:r>
    </w:p>
    <w:p w14:paraId="560E16EA"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9.2.5 </w:t>
      </w:r>
      <w:r>
        <w:rPr>
          <w:rFonts w:eastAsiaTheme="majorEastAsia" w:cs="宋体" w:hint="eastAsia"/>
          <w:sz w:val="21"/>
          <w:szCs w:val="21"/>
        </w:rPr>
        <w:t>水质超标应急处理</w:t>
      </w:r>
    </w:p>
    <w:p w14:paraId="7591E5B2"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一旦水质超标，立即</w:t>
      </w:r>
      <w:r>
        <w:rPr>
          <w:rFonts w:eastAsiaTheme="majorEastAsia" w:cs="宋体" w:hint="eastAsia"/>
          <w:sz w:val="21"/>
          <w:szCs w:val="21"/>
        </w:rPr>
        <w:t>停止供水，排查原因并整改，直至水质达标。这是保障公众健康的紧急措施。水质超标可能是由于设备故障、工艺参数失控、原水水质突变或其他突发情况引起的。停止供水可以避免不合格水进入供水管网，防止对公众健康造成危害。迅速排查原因，如检查设备运行状况、分析工艺参数设置、检测原水水质变化等，可以确定问题的根源。针对问题采取整改措施，如修复设备、调整工艺参数、优化预处理措施等，确保处理系统恢复正常运行，出水水质达标后再恢复供水，切实保障公众的饮用水安全。</w:t>
      </w:r>
    </w:p>
    <w:p w14:paraId="7925E3EF"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9.3 </w:t>
      </w:r>
      <w:r>
        <w:rPr>
          <w:rFonts w:eastAsiaTheme="majorEastAsia" w:cs="宋体" w:hint="eastAsia"/>
          <w:sz w:val="21"/>
          <w:szCs w:val="21"/>
        </w:rPr>
        <w:t>运行参数质量控制</w:t>
      </w:r>
    </w:p>
    <w:p w14:paraId="3DA634D8"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9.3.1 </w:t>
      </w:r>
      <w:r>
        <w:rPr>
          <w:rFonts w:eastAsiaTheme="majorEastAsia" w:cs="宋体" w:hint="eastAsia"/>
          <w:sz w:val="21"/>
          <w:szCs w:val="21"/>
        </w:rPr>
        <w:t>有机碳源投加控制</w:t>
      </w:r>
    </w:p>
    <w:p w14:paraId="2C462766"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根据进水硝酸盐含量和微生物的需求，精确控制有机碳源的投加量至关重要。有机碳源是反硝化细菌进行反硝化反应的电子供体，投加不足会导致反硝化不完全，硝酸盐无法有效去除，出水硝酸盐氮超标；投加过量则会造成出水有机物超标，不仅增加处理成本，还可能引发后续处理单元的负担和微生物生长的失衡。通过在线监测设备实时监测水质变化，结合处理效果反馈，可以动态调整有机碳源的投加策略。例如，当进水硝酸盐含量升高时，适当增加碳源投加量；当出水硝酸盐氮接近标准限值时，精细调整碳源投加量，确保反硝化反应充分进行且出水水质稳定，在保证处理效</w:t>
      </w:r>
      <w:r>
        <w:rPr>
          <w:rFonts w:eastAsiaTheme="majorEastAsia" w:cs="宋体" w:hint="eastAsia"/>
          <w:sz w:val="21"/>
          <w:szCs w:val="21"/>
        </w:rPr>
        <w:t>果的前提下，实现资源的合理利用和成本的有效控制。</w:t>
      </w:r>
    </w:p>
    <w:p w14:paraId="1A62413C"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9.3.2 </w:t>
      </w:r>
      <w:r>
        <w:rPr>
          <w:rFonts w:eastAsiaTheme="majorEastAsia" w:cs="宋体" w:hint="eastAsia"/>
          <w:sz w:val="21"/>
          <w:szCs w:val="21"/>
        </w:rPr>
        <w:t>水力停留时间控制</w:t>
      </w:r>
    </w:p>
    <w:p w14:paraId="466D51B8"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合理确定生物反应池的水力停留时间，并通过流量控制等手段确保实际运行中的水力停留时间符合设计要求，是保障处理效果的重要因素。水力停留时间过短，微生物与污染物接触时间不足，反硝化反应无法充分进行，导致硝酸盐去除率低；水力停留时间过长，虽然可能提高处理效果，但会增加处理成本和占地面积，降低处理系统的经济性和实用性。根据处理规模、进水水质和处理目标等因素，科学设计水力停留时间，并在运行过程中严格控制，确保微生物有足够的时间进行代谢活动，</w:t>
      </w:r>
      <w:r>
        <w:rPr>
          <w:rFonts w:eastAsiaTheme="majorEastAsia" w:cs="宋体" w:hint="eastAsia"/>
          <w:sz w:val="21"/>
          <w:szCs w:val="21"/>
        </w:rPr>
        <w:t>实现对硝酸盐的高效去除，同时兼顾处理系统的经济合理性和运行稳定性。</w:t>
      </w:r>
    </w:p>
    <w:p w14:paraId="6AE4DF26"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9.3.3 </w:t>
      </w:r>
      <w:r>
        <w:rPr>
          <w:rFonts w:eastAsiaTheme="majorEastAsia" w:cs="宋体" w:hint="eastAsia"/>
          <w:sz w:val="21"/>
          <w:szCs w:val="21"/>
        </w:rPr>
        <w:t>溶解氧控制</w:t>
      </w:r>
    </w:p>
    <w:p w14:paraId="6951B6CE"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在生物法处理过程中，严格控制好氧区和缺氧区的溶解氧浓度是实现硝化和反硝化反应</w:t>
      </w:r>
      <w:r>
        <w:rPr>
          <w:rFonts w:eastAsiaTheme="majorEastAsia" w:cs="宋体" w:hint="eastAsia"/>
          <w:sz w:val="21"/>
          <w:szCs w:val="21"/>
        </w:rPr>
        <w:lastRenderedPageBreak/>
        <w:t>顺利进行的关键。好氧区需要充足的溶解氧来满足硝化细菌的呼吸作用和硝化反应的需求，确保氨氮能够高效转化为硝酸盐。一般将好氧区溶解氧浓度控制在</w:t>
      </w:r>
      <w:r>
        <w:rPr>
          <w:rFonts w:eastAsiaTheme="majorEastAsia" w:cs="宋体" w:hint="eastAsia"/>
          <w:sz w:val="21"/>
          <w:szCs w:val="21"/>
        </w:rPr>
        <w:t>2-4</w:t>
      </w:r>
      <w:r>
        <w:rPr>
          <w:rFonts w:eastAsiaTheme="majorEastAsia" w:cs="宋体" w:hint="eastAsia"/>
          <w:sz w:val="21"/>
          <w:szCs w:val="21"/>
        </w:rPr>
        <w:t xml:space="preserve"> </w:t>
      </w:r>
      <w:r>
        <w:rPr>
          <w:rFonts w:eastAsiaTheme="majorEastAsia" w:cs="宋体" w:hint="eastAsia"/>
          <w:sz w:val="21"/>
          <w:szCs w:val="21"/>
        </w:rPr>
        <w:t>mg/L</w:t>
      </w:r>
      <w:r>
        <w:rPr>
          <w:rFonts w:eastAsiaTheme="majorEastAsia" w:cs="宋体" w:hint="eastAsia"/>
          <w:sz w:val="21"/>
          <w:szCs w:val="21"/>
        </w:rPr>
        <w:t>，在此范围内，硝化细菌能够保持较高的活性和代谢速率。缺氧区则需要将溶解氧浓度控制在低于</w:t>
      </w:r>
      <w:r>
        <w:rPr>
          <w:rFonts w:eastAsiaTheme="majorEastAsia" w:cs="宋体" w:hint="eastAsia"/>
          <w:sz w:val="21"/>
          <w:szCs w:val="21"/>
        </w:rPr>
        <w:t>0.5</w:t>
      </w:r>
      <w:r>
        <w:rPr>
          <w:rFonts w:eastAsiaTheme="majorEastAsia" w:cs="宋体" w:hint="eastAsia"/>
          <w:sz w:val="21"/>
          <w:szCs w:val="21"/>
        </w:rPr>
        <w:t xml:space="preserve"> </w:t>
      </w:r>
      <w:r>
        <w:rPr>
          <w:rFonts w:eastAsiaTheme="majorEastAsia" w:cs="宋体" w:hint="eastAsia"/>
          <w:sz w:val="21"/>
          <w:szCs w:val="21"/>
        </w:rPr>
        <w:t>mg/L</w:t>
      </w:r>
      <w:r>
        <w:rPr>
          <w:rFonts w:eastAsiaTheme="majorEastAsia" w:cs="宋体" w:hint="eastAsia"/>
          <w:sz w:val="21"/>
          <w:szCs w:val="21"/>
        </w:rPr>
        <w:t>，为反硝化细菌创造适宜的缺氧环境，促进硝酸盐的还原反应。通过曝气设备的调节、水流控制等措</w:t>
      </w:r>
      <w:r>
        <w:rPr>
          <w:rFonts w:eastAsiaTheme="majorEastAsia" w:cs="宋体" w:hint="eastAsia"/>
          <w:sz w:val="21"/>
          <w:szCs w:val="21"/>
        </w:rPr>
        <w:t>施，可以精确控制好氧区和缺氧区的溶解氧浓度，实现硝化和反硝化反应的协同作用，提高处理系统的整体处理效率，确保出水水质达标。</w:t>
      </w:r>
    </w:p>
    <w:p w14:paraId="7EDEDC5E"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9.4 </w:t>
      </w:r>
      <w:r>
        <w:rPr>
          <w:rFonts w:eastAsiaTheme="majorEastAsia" w:cs="宋体" w:hint="eastAsia"/>
          <w:sz w:val="21"/>
          <w:szCs w:val="21"/>
        </w:rPr>
        <w:t>设备与设施质量控制</w:t>
      </w:r>
    </w:p>
    <w:p w14:paraId="46B8F2B1"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9.4.1 </w:t>
      </w:r>
      <w:r>
        <w:rPr>
          <w:rFonts w:eastAsiaTheme="majorEastAsia" w:cs="宋体" w:hint="eastAsia"/>
          <w:sz w:val="21"/>
          <w:szCs w:val="21"/>
        </w:rPr>
        <w:t>监测仪表校准</w:t>
      </w:r>
    </w:p>
    <w:p w14:paraId="4043438C"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定期校准流量、溶解氧等监测仪表，误差控制在±</w:t>
      </w:r>
      <w:r>
        <w:rPr>
          <w:rFonts w:eastAsiaTheme="majorEastAsia" w:cs="宋体" w:hint="eastAsia"/>
          <w:sz w:val="21"/>
          <w:szCs w:val="21"/>
        </w:rPr>
        <w:t>5%</w:t>
      </w:r>
      <w:r>
        <w:rPr>
          <w:rFonts w:eastAsiaTheme="majorEastAsia" w:cs="宋体" w:hint="eastAsia"/>
          <w:sz w:val="21"/>
          <w:szCs w:val="21"/>
        </w:rPr>
        <w:t>以内，是为了确保监测数据的准确性和可靠性。这些监测仪表提供的实时数据是操作人员判断处理系统运行状态和调整运行参数的重要依据。如果监测仪表误差较大，可能导致操作人员对处理系统的运行情况产生误判，进而做出错误的决策，影响处理效果和水质。例如，不准确的溶解氧监测数据可能导致曝气设备的过度或不足运行，影响微生物的生长和代谢。通过严格的校准程序，保证监测仪表的精度，为处理系统的科学管理和高效运行提供准确的数据支持。</w:t>
      </w:r>
    </w:p>
    <w:p w14:paraId="6F832421"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9.4.2 </w:t>
      </w:r>
      <w:r>
        <w:rPr>
          <w:rFonts w:eastAsiaTheme="majorEastAsia" w:cs="宋体" w:hint="eastAsia"/>
          <w:sz w:val="21"/>
          <w:szCs w:val="21"/>
        </w:rPr>
        <w:t>设备维护与保养</w:t>
      </w:r>
    </w:p>
    <w:p w14:paraId="150DF0C4"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定期对生物处理系统中的设备</w:t>
      </w:r>
      <w:r>
        <w:rPr>
          <w:rFonts w:eastAsiaTheme="majorEastAsia" w:cs="宋体" w:hint="eastAsia"/>
          <w:sz w:val="21"/>
          <w:szCs w:val="21"/>
        </w:rPr>
        <w:t>进行维护和保养，如曝气设备、搅拌设备、泵等，是保障设备正常运行的关键措施。设备在长期运行过程中，由于机械磨损、腐蚀、疲劳等因素，容易出现故障。及时检查设备的运行状况，更换磨损的部件，可以延长设备的使用寿命，避免因设备故障导致处理系统停机，影响处理效果和供水连续性。例如，曝气设备的曝气头容易堵塞，定期清理可以保证曝气均匀性和氧气传递效率；泵的叶轮磨损会影响流量和扬程，及时更换叶轮可以确保泵的正常运行。通过定期维护和保养，确保设备始终处于良好的运行状态，提高处理系统的可靠性和稳定性。</w:t>
      </w:r>
    </w:p>
    <w:p w14:paraId="52DA3C89"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9.4.3 </w:t>
      </w:r>
      <w:r>
        <w:rPr>
          <w:rFonts w:eastAsiaTheme="majorEastAsia" w:cs="宋体" w:hint="eastAsia"/>
          <w:sz w:val="21"/>
          <w:szCs w:val="21"/>
        </w:rPr>
        <w:t>设施完整性检查</w:t>
      </w:r>
    </w:p>
    <w:p w14:paraId="1951297D"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定期对生物反应池、管道、阀门等设施进行检查，确保设施的完整性和密封性，是防止水质污染和处理效果下降的重要环节。生物反应池的裂缝或渗漏可能导致微生物泄漏或外界污染物进入，影响处理过程和水质安全；管道的破损或阀门的泄漏会造成水的流失和压力变化，影响处理系统的正常运行。通过定期检查设施的完整性和密封性，及时修复发现的问题，可以保证处理系统的正常运行，防止因设施问题导致的水质污染和处理效果下降，保障处理系统的安全性和稳定性。</w:t>
      </w:r>
    </w:p>
    <w:p w14:paraId="59B17275"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9.4.4 </w:t>
      </w:r>
      <w:r>
        <w:rPr>
          <w:rFonts w:eastAsiaTheme="majorEastAsia" w:cs="宋体" w:hint="eastAsia"/>
          <w:sz w:val="21"/>
          <w:szCs w:val="21"/>
        </w:rPr>
        <w:t>药剂与材料管理</w:t>
      </w:r>
    </w:p>
    <w:p w14:paraId="0780C860"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使用的所有药剂、滤料、填料等均符合相关国家标准，妥善储存，有</w:t>
      </w:r>
      <w:r>
        <w:rPr>
          <w:rFonts w:eastAsiaTheme="majorEastAsia" w:cs="宋体" w:hint="eastAsia"/>
          <w:sz w:val="21"/>
          <w:szCs w:val="21"/>
        </w:rPr>
        <w:t>质量追溯体系，这是保障处理效果和水质安全的基础要求。不符合标准的药剂可能无法发挥预期的作用，甚至可能对水质造成污染；滤料和填料的质量直接影响过滤和生物处理效果。妥善储存药剂、滤料和填料，可以防止其变质、损坏或受到污染。建立质量追溯体系，可以在出现问题时迅速</w:t>
      </w:r>
      <w:r>
        <w:rPr>
          <w:rFonts w:eastAsiaTheme="majorEastAsia" w:cs="宋体" w:hint="eastAsia"/>
          <w:sz w:val="21"/>
          <w:szCs w:val="21"/>
        </w:rPr>
        <w:lastRenderedPageBreak/>
        <w:t>追溯到问题源头，采取相应措施进行整改，确保处理系统的稳定运行和水质安全。</w:t>
      </w:r>
    </w:p>
    <w:p w14:paraId="7293C47E"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9.4.5 </w:t>
      </w:r>
      <w:r>
        <w:rPr>
          <w:rFonts w:eastAsiaTheme="majorEastAsia" w:cs="宋体" w:hint="eastAsia"/>
          <w:sz w:val="21"/>
          <w:szCs w:val="21"/>
        </w:rPr>
        <w:t>人员培训与记录</w:t>
      </w:r>
    </w:p>
    <w:p w14:paraId="29E609C4"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操作人员定期培训，熟悉工艺原理、设备操作与维护，是保障处理系统正常运行的关键因素之一。随着水处理技术不断发展和设备更新换代，操作人员需要持续学习新的知识和</w:t>
      </w:r>
      <w:r>
        <w:rPr>
          <w:rFonts w:eastAsiaTheme="majorEastAsia" w:cs="宋体" w:hint="eastAsia"/>
          <w:sz w:val="21"/>
          <w:szCs w:val="21"/>
        </w:rPr>
        <w:t>技能。培训内容包括生物处理工艺的微生物学原理、设备的结构和工作原理、操作规范和安全注意事项等。通过培训，操作人员能正确操作设备，如熟练启动和停止曝气设备、调节加药装置、进行设备巡检等；能准确判断设备运行故障并采取初步维修措施，如更换简单易损部件、排除电气故障等。完整记录运行数据、水质监测结果、设备维修情况等，便于追溯处理过程，分析处理效果波动原因，为工艺优化和设备改进提供数据支持。例如，通过对比不同时间段的运行数据和水质监测结果，可发现工艺参数是否需要调整，设备是否需要升级改造等，从而不断提高处理系统的性能</w:t>
      </w:r>
      <w:r>
        <w:rPr>
          <w:rFonts w:eastAsiaTheme="majorEastAsia" w:cs="宋体" w:hint="eastAsia"/>
          <w:sz w:val="21"/>
          <w:szCs w:val="21"/>
        </w:rPr>
        <w:t>和处理效果。</w:t>
      </w:r>
    </w:p>
    <w:p w14:paraId="79115E92"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9.4.6 </w:t>
      </w:r>
      <w:r>
        <w:rPr>
          <w:rFonts w:eastAsiaTheme="majorEastAsia" w:cs="宋体" w:hint="eastAsia"/>
          <w:sz w:val="21"/>
          <w:szCs w:val="21"/>
        </w:rPr>
        <w:t>记录保存与管理</w:t>
      </w:r>
    </w:p>
    <w:p w14:paraId="2A65F3FD"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详细记录运行数据、监测结果等，纸质记录保存</w:t>
      </w:r>
      <w:r>
        <w:rPr>
          <w:rFonts w:eastAsiaTheme="majorEastAsia" w:cs="宋体" w:hint="eastAsia"/>
          <w:sz w:val="21"/>
          <w:szCs w:val="21"/>
        </w:rPr>
        <w:t>3</w:t>
      </w:r>
      <w:r>
        <w:rPr>
          <w:rFonts w:eastAsiaTheme="majorEastAsia" w:cs="宋体" w:hint="eastAsia"/>
          <w:sz w:val="21"/>
          <w:szCs w:val="21"/>
        </w:rPr>
        <w:t>年以上，电子记录永久保存，这是满足法规要求和保障处理系统可追溯性的必要措施。在处理系统运行过程中，产生的大量数据和信息对于评估处理效果、分析设备运行状况、解决潜在问题具有重要价值。纸质记录在一定期限内保存，方便随时查阅近期数据和信息，如在设备维修或工艺调整时可快速获取相关历史数据作为参考；电子记录永久保存则可确保长期的数据存储和分析，对于处理系统的长期性能评估和研究具有重要意义。同时，建立完善的记录管理系统，对记录进行分类</w:t>
      </w:r>
      <w:r>
        <w:rPr>
          <w:rFonts w:eastAsiaTheme="majorEastAsia" w:cs="宋体" w:hint="eastAsia"/>
          <w:sz w:val="21"/>
          <w:szCs w:val="21"/>
        </w:rPr>
        <w:t>、归档和备份，确保记录的安全性和完整性，防止数据丢失或损坏。</w:t>
      </w:r>
    </w:p>
    <w:p w14:paraId="244DE895" w14:textId="77777777" w:rsidR="00AB4227" w:rsidRDefault="0048172D">
      <w:pPr>
        <w:pStyle w:val="a1"/>
        <w:adjustRightInd w:val="0"/>
        <w:snapToGrid w:val="0"/>
        <w:spacing w:line="360" w:lineRule="auto"/>
        <w:rPr>
          <w:rFonts w:eastAsiaTheme="majorEastAsia" w:cs="宋体"/>
          <w:sz w:val="21"/>
          <w:szCs w:val="21"/>
        </w:rPr>
      </w:pPr>
      <w:r>
        <w:rPr>
          <w:rFonts w:eastAsiaTheme="majorEastAsia" w:cs="宋体" w:hint="eastAsia"/>
          <w:sz w:val="21"/>
          <w:szCs w:val="21"/>
        </w:rPr>
        <w:t xml:space="preserve">9.4.7 </w:t>
      </w:r>
      <w:r>
        <w:rPr>
          <w:rFonts w:eastAsiaTheme="majorEastAsia" w:cs="宋体" w:hint="eastAsia"/>
          <w:sz w:val="21"/>
          <w:szCs w:val="21"/>
        </w:rPr>
        <w:t>运行报告提交</w:t>
      </w:r>
    </w:p>
    <w:p w14:paraId="5BE07465" w14:textId="77777777" w:rsidR="00AB4227" w:rsidRDefault="0048172D">
      <w:pPr>
        <w:pStyle w:val="a1"/>
        <w:adjustRightInd w:val="0"/>
        <w:snapToGrid w:val="0"/>
        <w:spacing w:line="360" w:lineRule="auto"/>
        <w:ind w:firstLineChars="200" w:firstLine="420"/>
        <w:rPr>
          <w:rFonts w:eastAsiaTheme="majorEastAsia" w:cs="宋体"/>
          <w:sz w:val="21"/>
          <w:szCs w:val="21"/>
        </w:rPr>
      </w:pPr>
      <w:r>
        <w:rPr>
          <w:rFonts w:eastAsiaTheme="majorEastAsia" w:cs="宋体" w:hint="eastAsia"/>
          <w:sz w:val="21"/>
          <w:szCs w:val="21"/>
        </w:rPr>
        <w:t>每月向主管部门提交处理系统运行报告，内容涵盖水质达标情况、设备运行状况等，这是加强监管和保障公众知情权的重要手段。主管部门通过审阅运行报告，可及时了解处理系统的运行绩效，如出水水质是否稳定达标、设备是否正常运行、是否存在安全隐患等。对于不达标的情况，主管部门可督促运营单位采取整改措施，确保处理系统持续符合要求。同时，运行报告也可为行业管理提供数据支持，促进技术交流和经验分享，推动整个行业的发展和进步，保障公众饮用水安全。</w:t>
      </w:r>
    </w:p>
    <w:sectPr w:rsidR="00AB4227">
      <w:footerReference w:type="default" r:id="rId12"/>
      <w:pgSz w:w="11906" w:h="16838"/>
      <w:pgMar w:top="1440" w:right="1797" w:bottom="1440" w:left="1797" w:header="851" w:footer="992" w:gutter="0"/>
      <w:cols w:space="720"/>
      <w:docGrid w:type="line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AAE75" w14:textId="77777777" w:rsidR="0048172D" w:rsidRDefault="0048172D">
      <w:r>
        <w:separator/>
      </w:r>
    </w:p>
  </w:endnote>
  <w:endnote w:type="continuationSeparator" w:id="0">
    <w:p w14:paraId="3D09C57C" w14:textId="77777777" w:rsidR="0048172D" w:rsidRDefault="0048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汉仪仿宋简">
    <w:altName w:val="仿宋"/>
    <w:charset w:val="86"/>
    <w:family w:val="auto"/>
    <w:pitch w:val="default"/>
    <w:sig w:usb0="00000000" w:usb1="00000000" w:usb2="00000002" w:usb3="00000000" w:csb0="0004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1AC7" w14:textId="77777777" w:rsidR="00AB4227" w:rsidRDefault="00AB4227">
    <w:pPr>
      <w:pStyle w:val="ac"/>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C294" w14:textId="77777777" w:rsidR="00AB4227" w:rsidRDefault="0048172D">
    <w:pPr>
      <w:pStyle w:val="ac"/>
      <w:jc w:val="right"/>
    </w:pPr>
    <w:r>
      <w:rPr>
        <w:noProof/>
        <w:sz w:val="28"/>
      </w:rPr>
      <mc:AlternateContent>
        <mc:Choice Requires="wps">
          <w:drawing>
            <wp:anchor distT="0" distB="0" distL="114300" distR="114300" simplePos="0" relativeHeight="251659264" behindDoc="0" locked="0" layoutInCell="1" allowOverlap="1" wp14:anchorId="03B4230A" wp14:editId="30B0F067">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A73511" w14:textId="77777777" w:rsidR="00AB4227" w:rsidRDefault="0048172D">
                          <w:pPr>
                            <w:snapToGrid w:val="0"/>
                            <w:rPr>
                              <w:rFonts w:ascii="仿宋_GB2312" w:eastAsia="仿宋_GB2312" w:hAnsi="仿宋_GB2312" w:cs="仿宋_GB2312"/>
                              <w:sz w:val="28"/>
                              <w:szCs w:val="28"/>
                            </w:rPr>
                          </w:pPr>
                          <w:r>
                            <w:rPr>
                              <w:rFonts w:eastAsia="仿宋_GB2312" w:cs="Times New Roman"/>
                              <w:szCs w:val="21"/>
                            </w:rPr>
                            <w:fldChar w:fldCharType="begin"/>
                          </w:r>
                          <w:r>
                            <w:rPr>
                              <w:rFonts w:eastAsia="仿宋_GB2312" w:cs="Times New Roman"/>
                              <w:szCs w:val="21"/>
                            </w:rPr>
                            <w:instrText xml:space="preserve"> PAGE  \* MERGEFORMAT </w:instrText>
                          </w:r>
                          <w:r>
                            <w:rPr>
                              <w:rFonts w:eastAsia="仿宋_GB2312" w:cs="Times New Roman"/>
                              <w:szCs w:val="21"/>
                            </w:rPr>
                            <w:fldChar w:fldCharType="separate"/>
                          </w:r>
                          <w:r>
                            <w:rPr>
                              <w:rFonts w:eastAsia="仿宋_GB2312" w:cs="Times New Roman"/>
                              <w:szCs w:val="21"/>
                            </w:rPr>
                            <w:t>30</w:t>
                          </w:r>
                          <w:r>
                            <w:rPr>
                              <w:rFonts w:eastAsia="仿宋_GB2312" w:cs="Times New Roman"/>
                              <w:szCs w:val="21"/>
                            </w:rPr>
                            <w:fldChar w:fldCharType="end"/>
                          </w:r>
                        </w:p>
                      </w:txbxContent>
                    </wps:txbx>
                    <wps:bodyPr wrap="none" lIns="0" tIns="0" rIns="0" bIns="0" upright="1">
                      <a:spAutoFit/>
                    </wps:bodyPr>
                  </wps:wsp>
                </a:graphicData>
              </a:graphic>
            </wp:anchor>
          </w:drawing>
        </mc:Choice>
        <mc:Fallback xmlns:wpsCustomData="http://www.wps.cn/officeDocument/2013/wpsCustomData">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vkRes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RF6yQEAAJkDAAAOAAAAAAAAAAEAIAAAAB4BAABkcnMvZTJvRG9j&#10;LnhtbFBLBQYAAAAABgAGAFkBAABZBQAAAAA=&#10;">
              <v:fill on="f" focussize="0,0"/>
              <v:stroke on="f"/>
              <v:imagedata o:title=""/>
              <o:lock v:ext="edit" aspectratio="f"/>
              <v:textbox inset="0mm,0mm,0mm,0mm" style="mso-fit-shape-to-text:t;">
                <w:txbxContent>
                  <w:p w14:paraId="0F58043D">
                    <w:pPr>
                      <w:snapToGrid w:val="0"/>
                      <w:rPr>
                        <w:rFonts w:hint="eastAsia" w:ascii="仿宋_GB2312" w:hAnsi="仿宋_GB2312" w:eastAsia="仿宋_GB2312" w:cs="仿宋_GB2312"/>
                        <w:sz w:val="28"/>
                        <w:szCs w:val="28"/>
                      </w:rPr>
                    </w:pPr>
                    <w:r>
                      <w:rPr>
                        <w:rFonts w:eastAsia="仿宋_GB2312" w:cs="Times New Roman"/>
                        <w:szCs w:val="21"/>
                      </w:rPr>
                      <w:fldChar w:fldCharType="begin"/>
                    </w:r>
                    <w:r>
                      <w:rPr>
                        <w:rFonts w:eastAsia="仿宋_GB2312" w:cs="Times New Roman"/>
                        <w:szCs w:val="21"/>
                      </w:rPr>
                      <w:instrText xml:space="preserve"> PAGE  \* MERGEFORMAT </w:instrText>
                    </w:r>
                    <w:r>
                      <w:rPr>
                        <w:rFonts w:eastAsia="仿宋_GB2312" w:cs="Times New Roman"/>
                        <w:szCs w:val="21"/>
                      </w:rPr>
                      <w:fldChar w:fldCharType="separate"/>
                    </w:r>
                    <w:r>
                      <w:rPr>
                        <w:rFonts w:eastAsia="仿宋_GB2312" w:cs="Times New Roman"/>
                        <w:szCs w:val="21"/>
                      </w:rPr>
                      <w:t>30</w:t>
                    </w:r>
                    <w:r>
                      <w:rPr>
                        <w:rFonts w:eastAsia="仿宋_GB2312" w:cs="Times New Roman"/>
                        <w:szCs w:val="21"/>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B718" w14:textId="77777777" w:rsidR="00AB4227" w:rsidRDefault="0048172D">
    <w:pPr>
      <w:pStyle w:val="ac"/>
      <w:jc w:val="right"/>
    </w:pPr>
    <w:r>
      <w:rPr>
        <w:noProof/>
        <w:sz w:val="28"/>
      </w:rPr>
      <mc:AlternateContent>
        <mc:Choice Requires="wps">
          <w:drawing>
            <wp:anchor distT="0" distB="0" distL="114300" distR="114300" simplePos="0" relativeHeight="251661312" behindDoc="0" locked="0" layoutInCell="1" allowOverlap="1" wp14:anchorId="0F037AFC" wp14:editId="1391C7AD">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D6C33F" w14:textId="77777777" w:rsidR="00AB4227" w:rsidRDefault="0048172D">
                          <w:pPr>
                            <w:snapToGrid w:val="0"/>
                            <w:rPr>
                              <w:rFonts w:ascii="仿宋_GB2312" w:eastAsia="仿宋_GB2312" w:hAnsi="仿宋_GB2312" w:cs="仿宋_GB2312"/>
                              <w:sz w:val="28"/>
                              <w:szCs w:val="28"/>
                            </w:rPr>
                          </w:pPr>
                          <w:r>
                            <w:rPr>
                              <w:rFonts w:eastAsia="仿宋_GB2312" w:cs="Times New Roman"/>
                              <w:szCs w:val="21"/>
                            </w:rPr>
                            <w:fldChar w:fldCharType="begin"/>
                          </w:r>
                          <w:r>
                            <w:rPr>
                              <w:rFonts w:eastAsia="仿宋_GB2312" w:cs="Times New Roman"/>
                              <w:szCs w:val="21"/>
                            </w:rPr>
                            <w:instrText xml:space="preserve"> PAGE  \* MERGEFORMAT </w:instrText>
                          </w:r>
                          <w:r>
                            <w:rPr>
                              <w:rFonts w:eastAsia="仿宋_GB2312" w:cs="Times New Roman"/>
                              <w:szCs w:val="21"/>
                            </w:rPr>
                            <w:fldChar w:fldCharType="separate"/>
                          </w:r>
                          <w:r>
                            <w:rPr>
                              <w:rFonts w:eastAsia="仿宋_GB2312" w:cs="Times New Roman"/>
                              <w:szCs w:val="21"/>
                            </w:rPr>
                            <w:t>30</w:t>
                          </w:r>
                          <w:r>
                            <w:rPr>
                              <w:rFonts w:eastAsia="仿宋_GB2312" w:cs="Times New Roman"/>
                              <w:szCs w:val="21"/>
                            </w:rPr>
                            <w:fldChar w:fldCharType="end"/>
                          </w:r>
                        </w:p>
                      </w:txbxContent>
                    </wps:txbx>
                    <wps:bodyPr wrap="none" lIns="0" tIns="0" rIns="0" bIns="0" upright="1">
                      <a:spAutoFit/>
                    </wps:bodyPr>
                  </wps:wsp>
                </a:graphicData>
              </a:graphic>
            </wp:anchor>
          </w:drawing>
        </mc:Choice>
        <mc:Fallback xmlns:wpsCustomData="http://www.wps.cn/officeDocument/2013/wpsCustomData">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w1Wc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UBy74xYHfvn54/Lrz+X3d7LM&#10;7ekD1Jh1HzAvDe/8gEsz+wGdWfWgos1f1EMwjs09X5srh0REfrRerdcVhgTG5gvis4fnIUJ6L70l&#10;2WhoxOmVpvLTR0hj6pySqzl/p40pEzTuHwdiZg/L3EeO2UrDfpgE7X17Rj09Dr6hDvecEvPBYV/z&#10;jsxGnI39bBxD1IcOqS0LLwi3x4QkCrdcYYSdCuPEirppu/JKPL6XrIc/avs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JMNVnIAQAAmQMAAA4AAAAAAAAAAQAgAAAAHgEAAGRycy9lMm9Eb2Mu&#10;eG1sUEsFBgAAAAAGAAYAWQEAAFgFAAAAAA==&#10;">
              <v:fill on="f" focussize="0,0"/>
              <v:stroke on="f"/>
              <v:imagedata o:title=""/>
              <o:lock v:ext="edit" aspectratio="f"/>
              <v:textbox inset="0mm,0mm,0mm,0mm" style="mso-fit-shape-to-text:t;">
                <w:txbxContent>
                  <w:p w14:paraId="3635398C">
                    <w:pPr>
                      <w:snapToGrid w:val="0"/>
                      <w:rPr>
                        <w:rFonts w:hint="eastAsia" w:ascii="仿宋_GB2312" w:hAnsi="仿宋_GB2312" w:eastAsia="仿宋_GB2312" w:cs="仿宋_GB2312"/>
                        <w:sz w:val="28"/>
                        <w:szCs w:val="28"/>
                      </w:rPr>
                    </w:pPr>
                    <w:r>
                      <w:rPr>
                        <w:rFonts w:eastAsia="仿宋_GB2312" w:cs="Times New Roman"/>
                        <w:szCs w:val="21"/>
                      </w:rPr>
                      <w:fldChar w:fldCharType="begin"/>
                    </w:r>
                    <w:r>
                      <w:rPr>
                        <w:rFonts w:eastAsia="仿宋_GB2312" w:cs="Times New Roman"/>
                        <w:szCs w:val="21"/>
                      </w:rPr>
                      <w:instrText xml:space="preserve"> PAGE  \* MERGEFORMAT </w:instrText>
                    </w:r>
                    <w:r>
                      <w:rPr>
                        <w:rFonts w:eastAsia="仿宋_GB2312" w:cs="Times New Roman"/>
                        <w:szCs w:val="21"/>
                      </w:rPr>
                      <w:fldChar w:fldCharType="separate"/>
                    </w:r>
                    <w:r>
                      <w:rPr>
                        <w:rFonts w:eastAsia="仿宋_GB2312" w:cs="Times New Roman"/>
                        <w:szCs w:val="21"/>
                      </w:rPr>
                      <w:t>30</w:t>
                    </w:r>
                    <w:r>
                      <w:rPr>
                        <w:rFonts w:eastAsia="仿宋_GB2312" w:cs="Times New Roman"/>
                        <w:szCs w:val="21"/>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EA127" w14:textId="77777777" w:rsidR="00AB4227" w:rsidRDefault="0048172D">
    <w:pPr>
      <w:pStyle w:val="ac"/>
      <w:jc w:val="right"/>
    </w:pPr>
    <w:r>
      <w:rPr>
        <w:noProof/>
        <w:sz w:val="28"/>
      </w:rPr>
      <mc:AlternateContent>
        <mc:Choice Requires="wps">
          <w:drawing>
            <wp:anchor distT="0" distB="0" distL="114300" distR="114300" simplePos="0" relativeHeight="251660288" behindDoc="0" locked="0" layoutInCell="1" allowOverlap="1" wp14:anchorId="5AA5FF2E" wp14:editId="2D3B5E8E">
              <wp:simplePos x="0" y="0"/>
              <wp:positionH relativeFrom="margin">
                <wp:align>outside</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D45C49" w14:textId="77777777" w:rsidR="00AB4227" w:rsidRDefault="0048172D">
                          <w:pPr>
                            <w:snapToGrid w:val="0"/>
                            <w:rPr>
                              <w:rFonts w:eastAsia="仿宋_GB2312" w:cs="Times New Roman"/>
                              <w:szCs w:val="21"/>
                            </w:rPr>
                          </w:pPr>
                          <w:r>
                            <w:rPr>
                              <w:rFonts w:eastAsia="仿宋_GB2312" w:cs="Times New Roman"/>
                              <w:szCs w:val="21"/>
                            </w:rPr>
                            <w:fldChar w:fldCharType="begin"/>
                          </w:r>
                          <w:r>
                            <w:rPr>
                              <w:rFonts w:eastAsia="仿宋_GB2312" w:cs="Times New Roman"/>
                              <w:szCs w:val="21"/>
                            </w:rPr>
                            <w:instrText xml:space="preserve"> PAGE  \* MERGEFORMAT </w:instrText>
                          </w:r>
                          <w:r>
                            <w:rPr>
                              <w:rFonts w:eastAsia="仿宋_GB2312" w:cs="Times New Roman"/>
                              <w:szCs w:val="21"/>
                            </w:rPr>
                            <w:fldChar w:fldCharType="separate"/>
                          </w:r>
                          <w:r>
                            <w:rPr>
                              <w:rFonts w:eastAsia="仿宋_GB2312" w:cs="Times New Roman"/>
                              <w:szCs w:val="21"/>
                            </w:rPr>
                            <w:t>30</w:t>
                          </w:r>
                          <w:r>
                            <w:rPr>
                              <w:rFonts w:eastAsia="仿宋_GB2312" w:cs="Times New Roman"/>
                              <w:szCs w:val="21"/>
                            </w:rPr>
                            <w:fldChar w:fldCharType="end"/>
                          </w:r>
                        </w:p>
                      </w:txbxContent>
                    </wps:txbx>
                    <wps:bodyPr wrap="none" lIns="0" tIns="0" rIns="0" bIns="0" upright="1">
                      <a:spAutoFit/>
                    </wps:bodyPr>
                  </wps:wsp>
                </a:graphicData>
              </a:graphic>
            </wp:anchor>
          </w:drawing>
        </mc:Choice>
        <mc:Fallback xmlns:wpsCustomData="http://www.wps.cn/officeDocument/2013/wpsCustomData">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7ZI8gBAACZ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9A0ljlsc+OX7t8uPX5efX8ky&#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y+2SPIAQAAmQMAAA4AAAAAAAAAAQAgAAAAHgEAAGRycy9lMm9Eb2Mu&#10;eG1sUEsFBgAAAAAGAAYAWQEAAFgFAAAAAA==&#10;">
              <v:fill on="f" focussize="0,0"/>
              <v:stroke on="f"/>
              <v:imagedata o:title=""/>
              <o:lock v:ext="edit" aspectratio="f"/>
              <v:textbox inset="0mm,0mm,0mm,0mm" style="mso-fit-shape-to-text:t;">
                <w:txbxContent>
                  <w:p w14:paraId="5CA616C2">
                    <w:pPr>
                      <w:snapToGrid w:val="0"/>
                      <w:rPr>
                        <w:rFonts w:eastAsia="仿宋_GB2312" w:cs="Times New Roman"/>
                        <w:szCs w:val="21"/>
                      </w:rPr>
                    </w:pPr>
                    <w:r>
                      <w:rPr>
                        <w:rFonts w:eastAsia="仿宋_GB2312" w:cs="Times New Roman"/>
                        <w:szCs w:val="21"/>
                      </w:rPr>
                      <w:fldChar w:fldCharType="begin"/>
                    </w:r>
                    <w:r>
                      <w:rPr>
                        <w:rFonts w:eastAsia="仿宋_GB2312" w:cs="Times New Roman"/>
                        <w:szCs w:val="21"/>
                      </w:rPr>
                      <w:instrText xml:space="preserve"> PAGE  \* MERGEFORMAT </w:instrText>
                    </w:r>
                    <w:r>
                      <w:rPr>
                        <w:rFonts w:eastAsia="仿宋_GB2312" w:cs="Times New Roman"/>
                        <w:szCs w:val="21"/>
                      </w:rPr>
                      <w:fldChar w:fldCharType="separate"/>
                    </w:r>
                    <w:r>
                      <w:rPr>
                        <w:rFonts w:eastAsia="仿宋_GB2312" w:cs="Times New Roman"/>
                        <w:szCs w:val="21"/>
                      </w:rPr>
                      <w:t>30</w:t>
                    </w:r>
                    <w:r>
                      <w:rPr>
                        <w:rFonts w:eastAsia="仿宋_GB2312" w:cs="Times New Roman"/>
                        <w:szCs w:val="2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B6B6" w14:textId="77777777" w:rsidR="0048172D" w:rsidRDefault="0048172D">
      <w:r>
        <w:separator/>
      </w:r>
    </w:p>
  </w:footnote>
  <w:footnote w:type="continuationSeparator" w:id="0">
    <w:p w14:paraId="3A6F8E71" w14:textId="77777777" w:rsidR="0048172D" w:rsidRDefault="00481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24CF" w14:textId="77777777" w:rsidR="00AB4227" w:rsidRDefault="00AB4227">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FBA0AE"/>
    <w:multiLevelType w:val="singleLevel"/>
    <w:tmpl w:val="F4FBA0AE"/>
    <w:lvl w:ilvl="0">
      <w:start w:val="1"/>
      <w:numFmt w:val="decimal"/>
      <w:suff w:val="nothing"/>
      <w:lvlText w:val="%1）"/>
      <w:lvlJc w:val="left"/>
    </w:lvl>
  </w:abstractNum>
  <w:abstractNum w:abstractNumId="1" w15:restartNumberingAfterBreak="0">
    <w:nsid w:val="4F302902"/>
    <w:multiLevelType w:val="multilevel"/>
    <w:tmpl w:val="4F302902"/>
    <w:lvl w:ilvl="0">
      <w:start w:val="1"/>
      <w:numFmt w:val="none"/>
      <w:pStyle w:val="a"/>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U0MGFjOGFmOTMxNTY0ODlmNDYyNWZiZTcyNmIyMGMifQ=="/>
  </w:docVars>
  <w:rsids>
    <w:rsidRoot w:val="007F62BC"/>
    <w:rsid w:val="00000D73"/>
    <w:rsid w:val="0000486E"/>
    <w:rsid w:val="000050DD"/>
    <w:rsid w:val="000057B5"/>
    <w:rsid w:val="0000602E"/>
    <w:rsid w:val="00007290"/>
    <w:rsid w:val="00007C41"/>
    <w:rsid w:val="00013AF1"/>
    <w:rsid w:val="00017A4A"/>
    <w:rsid w:val="00021160"/>
    <w:rsid w:val="000212A6"/>
    <w:rsid w:val="00021745"/>
    <w:rsid w:val="000226F1"/>
    <w:rsid w:val="00024ACB"/>
    <w:rsid w:val="000264A9"/>
    <w:rsid w:val="00033053"/>
    <w:rsid w:val="0003383D"/>
    <w:rsid w:val="00033C71"/>
    <w:rsid w:val="00037733"/>
    <w:rsid w:val="00040260"/>
    <w:rsid w:val="0004211C"/>
    <w:rsid w:val="000460A4"/>
    <w:rsid w:val="000462F2"/>
    <w:rsid w:val="00046775"/>
    <w:rsid w:val="00050383"/>
    <w:rsid w:val="00050DAC"/>
    <w:rsid w:val="0005272A"/>
    <w:rsid w:val="00054BD7"/>
    <w:rsid w:val="00054EB4"/>
    <w:rsid w:val="00055C72"/>
    <w:rsid w:val="00057B90"/>
    <w:rsid w:val="00060691"/>
    <w:rsid w:val="000630CB"/>
    <w:rsid w:val="00066331"/>
    <w:rsid w:val="00070D2D"/>
    <w:rsid w:val="00071B05"/>
    <w:rsid w:val="0007380B"/>
    <w:rsid w:val="0007431C"/>
    <w:rsid w:val="0007677E"/>
    <w:rsid w:val="00080364"/>
    <w:rsid w:val="000804A4"/>
    <w:rsid w:val="00082B27"/>
    <w:rsid w:val="000879D7"/>
    <w:rsid w:val="00087FFD"/>
    <w:rsid w:val="000902F4"/>
    <w:rsid w:val="0009339D"/>
    <w:rsid w:val="000935BD"/>
    <w:rsid w:val="00095317"/>
    <w:rsid w:val="000979F1"/>
    <w:rsid w:val="000A690D"/>
    <w:rsid w:val="000B03EC"/>
    <w:rsid w:val="000B05CF"/>
    <w:rsid w:val="000B12E6"/>
    <w:rsid w:val="000B4917"/>
    <w:rsid w:val="000B5490"/>
    <w:rsid w:val="000B6599"/>
    <w:rsid w:val="000B69A6"/>
    <w:rsid w:val="000B770B"/>
    <w:rsid w:val="000C0CBD"/>
    <w:rsid w:val="000C11A3"/>
    <w:rsid w:val="000C3BAB"/>
    <w:rsid w:val="000C7074"/>
    <w:rsid w:val="000C7910"/>
    <w:rsid w:val="000D157C"/>
    <w:rsid w:val="000D288E"/>
    <w:rsid w:val="000D2ACE"/>
    <w:rsid w:val="000D2BCE"/>
    <w:rsid w:val="000D7D6B"/>
    <w:rsid w:val="000E023E"/>
    <w:rsid w:val="000E4111"/>
    <w:rsid w:val="000E4916"/>
    <w:rsid w:val="000E573D"/>
    <w:rsid w:val="000E668D"/>
    <w:rsid w:val="000E7284"/>
    <w:rsid w:val="000E7B39"/>
    <w:rsid w:val="000F0837"/>
    <w:rsid w:val="000F21DC"/>
    <w:rsid w:val="000F348F"/>
    <w:rsid w:val="000F3681"/>
    <w:rsid w:val="000F3D70"/>
    <w:rsid w:val="000F4B0A"/>
    <w:rsid w:val="000F711E"/>
    <w:rsid w:val="001021AF"/>
    <w:rsid w:val="00104DFD"/>
    <w:rsid w:val="00105C4C"/>
    <w:rsid w:val="00110E51"/>
    <w:rsid w:val="00113523"/>
    <w:rsid w:val="001137EE"/>
    <w:rsid w:val="001153CD"/>
    <w:rsid w:val="00116035"/>
    <w:rsid w:val="001221AD"/>
    <w:rsid w:val="001246EE"/>
    <w:rsid w:val="00124AF5"/>
    <w:rsid w:val="00124C6D"/>
    <w:rsid w:val="0013224A"/>
    <w:rsid w:val="00142B33"/>
    <w:rsid w:val="00143FEC"/>
    <w:rsid w:val="00145C33"/>
    <w:rsid w:val="00147448"/>
    <w:rsid w:val="00150252"/>
    <w:rsid w:val="00150EFB"/>
    <w:rsid w:val="00150F1D"/>
    <w:rsid w:val="00155C66"/>
    <w:rsid w:val="00157932"/>
    <w:rsid w:val="00157F5C"/>
    <w:rsid w:val="00157FED"/>
    <w:rsid w:val="001643AD"/>
    <w:rsid w:val="00165B84"/>
    <w:rsid w:val="00172D6A"/>
    <w:rsid w:val="00180864"/>
    <w:rsid w:val="00182219"/>
    <w:rsid w:val="001836CF"/>
    <w:rsid w:val="001836E3"/>
    <w:rsid w:val="00193F6F"/>
    <w:rsid w:val="001978D2"/>
    <w:rsid w:val="001A2B82"/>
    <w:rsid w:val="001A52C4"/>
    <w:rsid w:val="001A6AE6"/>
    <w:rsid w:val="001B0ACA"/>
    <w:rsid w:val="001B0CB6"/>
    <w:rsid w:val="001B11C0"/>
    <w:rsid w:val="001B11F5"/>
    <w:rsid w:val="001B148E"/>
    <w:rsid w:val="001B1A65"/>
    <w:rsid w:val="001B1C3C"/>
    <w:rsid w:val="001B493D"/>
    <w:rsid w:val="001C02AF"/>
    <w:rsid w:val="001C1D58"/>
    <w:rsid w:val="001C2C4F"/>
    <w:rsid w:val="001C69C6"/>
    <w:rsid w:val="001C75A3"/>
    <w:rsid w:val="001D0B4B"/>
    <w:rsid w:val="001D4087"/>
    <w:rsid w:val="001E0268"/>
    <w:rsid w:val="001E3675"/>
    <w:rsid w:val="001F3652"/>
    <w:rsid w:val="001F5456"/>
    <w:rsid w:val="002037A1"/>
    <w:rsid w:val="00204482"/>
    <w:rsid w:val="0020483C"/>
    <w:rsid w:val="00204B8A"/>
    <w:rsid w:val="002062EF"/>
    <w:rsid w:val="0020689B"/>
    <w:rsid w:val="00206DA5"/>
    <w:rsid w:val="00207FCE"/>
    <w:rsid w:val="002106BA"/>
    <w:rsid w:val="00210956"/>
    <w:rsid w:val="0021374D"/>
    <w:rsid w:val="00214078"/>
    <w:rsid w:val="002145AB"/>
    <w:rsid w:val="00214BBB"/>
    <w:rsid w:val="00214FAE"/>
    <w:rsid w:val="002159B5"/>
    <w:rsid w:val="00220543"/>
    <w:rsid w:val="00220A3F"/>
    <w:rsid w:val="00220C8E"/>
    <w:rsid w:val="00222491"/>
    <w:rsid w:val="00222CDF"/>
    <w:rsid w:val="002249CD"/>
    <w:rsid w:val="00225DB1"/>
    <w:rsid w:val="002300C5"/>
    <w:rsid w:val="00230D23"/>
    <w:rsid w:val="002312F9"/>
    <w:rsid w:val="00232005"/>
    <w:rsid w:val="00234A0C"/>
    <w:rsid w:val="00234E01"/>
    <w:rsid w:val="00235BBF"/>
    <w:rsid w:val="00236616"/>
    <w:rsid w:val="00240192"/>
    <w:rsid w:val="00241B70"/>
    <w:rsid w:val="00244651"/>
    <w:rsid w:val="002447F2"/>
    <w:rsid w:val="00244F56"/>
    <w:rsid w:val="00245970"/>
    <w:rsid w:val="00250571"/>
    <w:rsid w:val="00251119"/>
    <w:rsid w:val="00251D06"/>
    <w:rsid w:val="00252A1C"/>
    <w:rsid w:val="002538D1"/>
    <w:rsid w:val="00253D8D"/>
    <w:rsid w:val="00255640"/>
    <w:rsid w:val="002559A6"/>
    <w:rsid w:val="00260675"/>
    <w:rsid w:val="00265270"/>
    <w:rsid w:val="00267B1C"/>
    <w:rsid w:val="0027049B"/>
    <w:rsid w:val="002715E7"/>
    <w:rsid w:val="00274C72"/>
    <w:rsid w:val="002805CA"/>
    <w:rsid w:val="00282ACB"/>
    <w:rsid w:val="00286224"/>
    <w:rsid w:val="00290EDE"/>
    <w:rsid w:val="00291293"/>
    <w:rsid w:val="00295E8F"/>
    <w:rsid w:val="0029678B"/>
    <w:rsid w:val="002968EF"/>
    <w:rsid w:val="00297D13"/>
    <w:rsid w:val="002A3C81"/>
    <w:rsid w:val="002A4E4A"/>
    <w:rsid w:val="002A5710"/>
    <w:rsid w:val="002A7045"/>
    <w:rsid w:val="002A7938"/>
    <w:rsid w:val="002B0B52"/>
    <w:rsid w:val="002B3161"/>
    <w:rsid w:val="002B44E6"/>
    <w:rsid w:val="002B5EC2"/>
    <w:rsid w:val="002B68C0"/>
    <w:rsid w:val="002B6A2E"/>
    <w:rsid w:val="002B7644"/>
    <w:rsid w:val="002C0B33"/>
    <w:rsid w:val="002C1406"/>
    <w:rsid w:val="002C19DF"/>
    <w:rsid w:val="002C1B20"/>
    <w:rsid w:val="002C1E47"/>
    <w:rsid w:val="002C215C"/>
    <w:rsid w:val="002C23AD"/>
    <w:rsid w:val="002C306C"/>
    <w:rsid w:val="002D1E0C"/>
    <w:rsid w:val="002D2D07"/>
    <w:rsid w:val="002D3AFE"/>
    <w:rsid w:val="002D4C56"/>
    <w:rsid w:val="002D66B5"/>
    <w:rsid w:val="002D6BC5"/>
    <w:rsid w:val="002D7CAC"/>
    <w:rsid w:val="002E0166"/>
    <w:rsid w:val="002E0E52"/>
    <w:rsid w:val="002E35C6"/>
    <w:rsid w:val="002E60B6"/>
    <w:rsid w:val="002E72F5"/>
    <w:rsid w:val="002E7395"/>
    <w:rsid w:val="002F27AA"/>
    <w:rsid w:val="002F3119"/>
    <w:rsid w:val="002F3D76"/>
    <w:rsid w:val="002F56EC"/>
    <w:rsid w:val="002F6431"/>
    <w:rsid w:val="002F67A9"/>
    <w:rsid w:val="002F7561"/>
    <w:rsid w:val="00302636"/>
    <w:rsid w:val="003039CC"/>
    <w:rsid w:val="003051FF"/>
    <w:rsid w:val="003069B1"/>
    <w:rsid w:val="00306DD7"/>
    <w:rsid w:val="00307F8C"/>
    <w:rsid w:val="00310347"/>
    <w:rsid w:val="00310D32"/>
    <w:rsid w:val="00314A8E"/>
    <w:rsid w:val="00317DD8"/>
    <w:rsid w:val="0032041C"/>
    <w:rsid w:val="003215B2"/>
    <w:rsid w:val="003226A7"/>
    <w:rsid w:val="00323259"/>
    <w:rsid w:val="00323B30"/>
    <w:rsid w:val="00323E84"/>
    <w:rsid w:val="00325C15"/>
    <w:rsid w:val="003262B3"/>
    <w:rsid w:val="00326DE4"/>
    <w:rsid w:val="003313ED"/>
    <w:rsid w:val="00331698"/>
    <w:rsid w:val="003334B4"/>
    <w:rsid w:val="0033390B"/>
    <w:rsid w:val="00333F66"/>
    <w:rsid w:val="00337019"/>
    <w:rsid w:val="00345FCF"/>
    <w:rsid w:val="00346BE2"/>
    <w:rsid w:val="0035028F"/>
    <w:rsid w:val="003510DF"/>
    <w:rsid w:val="0036164A"/>
    <w:rsid w:val="00361C98"/>
    <w:rsid w:val="00361D86"/>
    <w:rsid w:val="00362059"/>
    <w:rsid w:val="00363BDC"/>
    <w:rsid w:val="00364352"/>
    <w:rsid w:val="00364DFA"/>
    <w:rsid w:val="003673C3"/>
    <w:rsid w:val="0036749D"/>
    <w:rsid w:val="00370000"/>
    <w:rsid w:val="0037078D"/>
    <w:rsid w:val="00372B23"/>
    <w:rsid w:val="003766D6"/>
    <w:rsid w:val="00377382"/>
    <w:rsid w:val="00377D6E"/>
    <w:rsid w:val="00377F28"/>
    <w:rsid w:val="00380016"/>
    <w:rsid w:val="00381826"/>
    <w:rsid w:val="00382C9A"/>
    <w:rsid w:val="00385BF7"/>
    <w:rsid w:val="00390713"/>
    <w:rsid w:val="003A0441"/>
    <w:rsid w:val="003A1E89"/>
    <w:rsid w:val="003A4D69"/>
    <w:rsid w:val="003A5D8C"/>
    <w:rsid w:val="003B2ADD"/>
    <w:rsid w:val="003B4929"/>
    <w:rsid w:val="003B5600"/>
    <w:rsid w:val="003C2104"/>
    <w:rsid w:val="003C21A3"/>
    <w:rsid w:val="003C6293"/>
    <w:rsid w:val="003D0185"/>
    <w:rsid w:val="003D4550"/>
    <w:rsid w:val="003D6B18"/>
    <w:rsid w:val="003D701D"/>
    <w:rsid w:val="003D75FD"/>
    <w:rsid w:val="003E4396"/>
    <w:rsid w:val="003E4718"/>
    <w:rsid w:val="003E781C"/>
    <w:rsid w:val="003F02CD"/>
    <w:rsid w:val="003F035C"/>
    <w:rsid w:val="003F0BE7"/>
    <w:rsid w:val="003F1E4D"/>
    <w:rsid w:val="003F2DD3"/>
    <w:rsid w:val="003F43AD"/>
    <w:rsid w:val="003F490E"/>
    <w:rsid w:val="003F5079"/>
    <w:rsid w:val="003F5C2E"/>
    <w:rsid w:val="0040053B"/>
    <w:rsid w:val="004005F2"/>
    <w:rsid w:val="0040248A"/>
    <w:rsid w:val="004029E4"/>
    <w:rsid w:val="004030F4"/>
    <w:rsid w:val="0040753C"/>
    <w:rsid w:val="00407B6C"/>
    <w:rsid w:val="00412EB1"/>
    <w:rsid w:val="00414967"/>
    <w:rsid w:val="00414E52"/>
    <w:rsid w:val="00416514"/>
    <w:rsid w:val="00416D9D"/>
    <w:rsid w:val="00417F2C"/>
    <w:rsid w:val="00421AA3"/>
    <w:rsid w:val="004233BA"/>
    <w:rsid w:val="00424A17"/>
    <w:rsid w:val="00424FC3"/>
    <w:rsid w:val="004262FE"/>
    <w:rsid w:val="00426625"/>
    <w:rsid w:val="00426696"/>
    <w:rsid w:val="004277BA"/>
    <w:rsid w:val="004312A8"/>
    <w:rsid w:val="00435A35"/>
    <w:rsid w:val="00436113"/>
    <w:rsid w:val="00436665"/>
    <w:rsid w:val="004373AC"/>
    <w:rsid w:val="0043758F"/>
    <w:rsid w:val="0044007E"/>
    <w:rsid w:val="0044122E"/>
    <w:rsid w:val="00441F9E"/>
    <w:rsid w:val="00451F2B"/>
    <w:rsid w:val="00452289"/>
    <w:rsid w:val="0045233E"/>
    <w:rsid w:val="004526E7"/>
    <w:rsid w:val="00454FDC"/>
    <w:rsid w:val="00455E7D"/>
    <w:rsid w:val="00456B8A"/>
    <w:rsid w:val="00457571"/>
    <w:rsid w:val="00457969"/>
    <w:rsid w:val="00460796"/>
    <w:rsid w:val="0046207B"/>
    <w:rsid w:val="0046298F"/>
    <w:rsid w:val="00471BF2"/>
    <w:rsid w:val="00473A37"/>
    <w:rsid w:val="00474FC4"/>
    <w:rsid w:val="00475C49"/>
    <w:rsid w:val="0048099A"/>
    <w:rsid w:val="0048172D"/>
    <w:rsid w:val="00484FA1"/>
    <w:rsid w:val="00487629"/>
    <w:rsid w:val="00490080"/>
    <w:rsid w:val="00490A69"/>
    <w:rsid w:val="00493108"/>
    <w:rsid w:val="00494775"/>
    <w:rsid w:val="004964E6"/>
    <w:rsid w:val="004A4E9C"/>
    <w:rsid w:val="004A7787"/>
    <w:rsid w:val="004B1AA7"/>
    <w:rsid w:val="004B22BB"/>
    <w:rsid w:val="004B5B78"/>
    <w:rsid w:val="004B5DDA"/>
    <w:rsid w:val="004C0069"/>
    <w:rsid w:val="004C0E59"/>
    <w:rsid w:val="004C1F80"/>
    <w:rsid w:val="004C4133"/>
    <w:rsid w:val="004C4CDE"/>
    <w:rsid w:val="004C70D8"/>
    <w:rsid w:val="004D2005"/>
    <w:rsid w:val="004D39B9"/>
    <w:rsid w:val="004D3D50"/>
    <w:rsid w:val="004D5462"/>
    <w:rsid w:val="004E0399"/>
    <w:rsid w:val="004E077B"/>
    <w:rsid w:val="004E13E2"/>
    <w:rsid w:val="004E216A"/>
    <w:rsid w:val="004E408A"/>
    <w:rsid w:val="004E4D86"/>
    <w:rsid w:val="004E583C"/>
    <w:rsid w:val="004E6FA4"/>
    <w:rsid w:val="004F1B52"/>
    <w:rsid w:val="004F45A0"/>
    <w:rsid w:val="004F5C39"/>
    <w:rsid w:val="004F6C07"/>
    <w:rsid w:val="0050238D"/>
    <w:rsid w:val="00502C90"/>
    <w:rsid w:val="00502E61"/>
    <w:rsid w:val="00503A56"/>
    <w:rsid w:val="00505933"/>
    <w:rsid w:val="00506D54"/>
    <w:rsid w:val="0050750F"/>
    <w:rsid w:val="00510103"/>
    <w:rsid w:val="005143D5"/>
    <w:rsid w:val="00515A27"/>
    <w:rsid w:val="005162C8"/>
    <w:rsid w:val="005176B8"/>
    <w:rsid w:val="00517EE3"/>
    <w:rsid w:val="00520C67"/>
    <w:rsid w:val="00523DCA"/>
    <w:rsid w:val="005270FD"/>
    <w:rsid w:val="00527426"/>
    <w:rsid w:val="0053002C"/>
    <w:rsid w:val="005309C7"/>
    <w:rsid w:val="0053206B"/>
    <w:rsid w:val="0053211E"/>
    <w:rsid w:val="0053381D"/>
    <w:rsid w:val="00540409"/>
    <w:rsid w:val="00541770"/>
    <w:rsid w:val="005439C6"/>
    <w:rsid w:val="00544F81"/>
    <w:rsid w:val="005463CE"/>
    <w:rsid w:val="005465E9"/>
    <w:rsid w:val="00553080"/>
    <w:rsid w:val="00557E03"/>
    <w:rsid w:val="0056273E"/>
    <w:rsid w:val="00563A5C"/>
    <w:rsid w:val="00564069"/>
    <w:rsid w:val="0056406A"/>
    <w:rsid w:val="00564E32"/>
    <w:rsid w:val="005678B3"/>
    <w:rsid w:val="005719E9"/>
    <w:rsid w:val="00572386"/>
    <w:rsid w:val="005729AC"/>
    <w:rsid w:val="00573253"/>
    <w:rsid w:val="0057463B"/>
    <w:rsid w:val="005758E4"/>
    <w:rsid w:val="0057629B"/>
    <w:rsid w:val="00577F83"/>
    <w:rsid w:val="00581A7C"/>
    <w:rsid w:val="00582179"/>
    <w:rsid w:val="005839E5"/>
    <w:rsid w:val="00583F14"/>
    <w:rsid w:val="005933ED"/>
    <w:rsid w:val="005953D9"/>
    <w:rsid w:val="0059560E"/>
    <w:rsid w:val="005A3494"/>
    <w:rsid w:val="005A4886"/>
    <w:rsid w:val="005A654C"/>
    <w:rsid w:val="005A73A3"/>
    <w:rsid w:val="005B16A8"/>
    <w:rsid w:val="005B2AA7"/>
    <w:rsid w:val="005B42B4"/>
    <w:rsid w:val="005B7D97"/>
    <w:rsid w:val="005C1022"/>
    <w:rsid w:val="005C3894"/>
    <w:rsid w:val="005C5316"/>
    <w:rsid w:val="005C6855"/>
    <w:rsid w:val="005D28EA"/>
    <w:rsid w:val="005D2B96"/>
    <w:rsid w:val="005D3059"/>
    <w:rsid w:val="005D4B7D"/>
    <w:rsid w:val="005D5A7A"/>
    <w:rsid w:val="005D6705"/>
    <w:rsid w:val="005D6E80"/>
    <w:rsid w:val="005D76F8"/>
    <w:rsid w:val="005E12E6"/>
    <w:rsid w:val="005E1D97"/>
    <w:rsid w:val="005E259C"/>
    <w:rsid w:val="005E28BB"/>
    <w:rsid w:val="005E3D07"/>
    <w:rsid w:val="005F0DC2"/>
    <w:rsid w:val="005F2CC2"/>
    <w:rsid w:val="005F3F75"/>
    <w:rsid w:val="005F4E90"/>
    <w:rsid w:val="005F65DC"/>
    <w:rsid w:val="005F6997"/>
    <w:rsid w:val="006018E0"/>
    <w:rsid w:val="00603FC9"/>
    <w:rsid w:val="00605E9F"/>
    <w:rsid w:val="00607C9F"/>
    <w:rsid w:val="00607D46"/>
    <w:rsid w:val="00612FBE"/>
    <w:rsid w:val="00614294"/>
    <w:rsid w:val="00617068"/>
    <w:rsid w:val="00617B3F"/>
    <w:rsid w:val="00617F40"/>
    <w:rsid w:val="00621135"/>
    <w:rsid w:val="00622941"/>
    <w:rsid w:val="00623C4D"/>
    <w:rsid w:val="00625343"/>
    <w:rsid w:val="0062674D"/>
    <w:rsid w:val="00631ADF"/>
    <w:rsid w:val="006323A1"/>
    <w:rsid w:val="006418E2"/>
    <w:rsid w:val="00641F2F"/>
    <w:rsid w:val="00643CE8"/>
    <w:rsid w:val="006448F6"/>
    <w:rsid w:val="00646AEA"/>
    <w:rsid w:val="00647FBC"/>
    <w:rsid w:val="0065145B"/>
    <w:rsid w:val="00651E5F"/>
    <w:rsid w:val="00654B24"/>
    <w:rsid w:val="00654C83"/>
    <w:rsid w:val="00661D01"/>
    <w:rsid w:val="00662728"/>
    <w:rsid w:val="00663353"/>
    <w:rsid w:val="00663A0F"/>
    <w:rsid w:val="006641E4"/>
    <w:rsid w:val="006645EB"/>
    <w:rsid w:val="0066580D"/>
    <w:rsid w:val="00670972"/>
    <w:rsid w:val="00670D04"/>
    <w:rsid w:val="00670DA3"/>
    <w:rsid w:val="00673373"/>
    <w:rsid w:val="006740D1"/>
    <w:rsid w:val="00674398"/>
    <w:rsid w:val="0067453D"/>
    <w:rsid w:val="006761FA"/>
    <w:rsid w:val="00681513"/>
    <w:rsid w:val="006829E2"/>
    <w:rsid w:val="00682E9C"/>
    <w:rsid w:val="00684707"/>
    <w:rsid w:val="00685878"/>
    <w:rsid w:val="0068728A"/>
    <w:rsid w:val="00690AF8"/>
    <w:rsid w:val="0069787C"/>
    <w:rsid w:val="006A21E4"/>
    <w:rsid w:val="006A45D5"/>
    <w:rsid w:val="006A4A5A"/>
    <w:rsid w:val="006A751A"/>
    <w:rsid w:val="006B16FB"/>
    <w:rsid w:val="006B36CE"/>
    <w:rsid w:val="006B445F"/>
    <w:rsid w:val="006B630D"/>
    <w:rsid w:val="006B7EE2"/>
    <w:rsid w:val="006C2F7F"/>
    <w:rsid w:val="006C3A8E"/>
    <w:rsid w:val="006C40EE"/>
    <w:rsid w:val="006C708C"/>
    <w:rsid w:val="006C7850"/>
    <w:rsid w:val="006D1D2D"/>
    <w:rsid w:val="006D5617"/>
    <w:rsid w:val="006D6420"/>
    <w:rsid w:val="006E0CA2"/>
    <w:rsid w:val="006E15A6"/>
    <w:rsid w:val="006E2A63"/>
    <w:rsid w:val="006E3739"/>
    <w:rsid w:val="006F29BE"/>
    <w:rsid w:val="006F3CDF"/>
    <w:rsid w:val="006F7348"/>
    <w:rsid w:val="007010D6"/>
    <w:rsid w:val="00701B98"/>
    <w:rsid w:val="00703318"/>
    <w:rsid w:val="007039AC"/>
    <w:rsid w:val="00705EDF"/>
    <w:rsid w:val="00706CDA"/>
    <w:rsid w:val="007101F3"/>
    <w:rsid w:val="00710C24"/>
    <w:rsid w:val="00710E97"/>
    <w:rsid w:val="00712645"/>
    <w:rsid w:val="00714C8C"/>
    <w:rsid w:val="00716D82"/>
    <w:rsid w:val="00716E76"/>
    <w:rsid w:val="0072231B"/>
    <w:rsid w:val="007228CC"/>
    <w:rsid w:val="00722C6F"/>
    <w:rsid w:val="00722D5D"/>
    <w:rsid w:val="00726E71"/>
    <w:rsid w:val="00732C5D"/>
    <w:rsid w:val="00734DB7"/>
    <w:rsid w:val="007412DE"/>
    <w:rsid w:val="007439A5"/>
    <w:rsid w:val="00746CAF"/>
    <w:rsid w:val="007474A3"/>
    <w:rsid w:val="007474B9"/>
    <w:rsid w:val="0075239B"/>
    <w:rsid w:val="007555EE"/>
    <w:rsid w:val="007558CF"/>
    <w:rsid w:val="00757244"/>
    <w:rsid w:val="007573B0"/>
    <w:rsid w:val="0076044E"/>
    <w:rsid w:val="00761922"/>
    <w:rsid w:val="00762C93"/>
    <w:rsid w:val="00764B41"/>
    <w:rsid w:val="00765B95"/>
    <w:rsid w:val="00766F61"/>
    <w:rsid w:val="00772627"/>
    <w:rsid w:val="00773FC2"/>
    <w:rsid w:val="00774BBE"/>
    <w:rsid w:val="007846C9"/>
    <w:rsid w:val="0079010D"/>
    <w:rsid w:val="00792571"/>
    <w:rsid w:val="00794020"/>
    <w:rsid w:val="0079418B"/>
    <w:rsid w:val="00794594"/>
    <w:rsid w:val="00795D16"/>
    <w:rsid w:val="007A087A"/>
    <w:rsid w:val="007A288C"/>
    <w:rsid w:val="007A2ACD"/>
    <w:rsid w:val="007A521F"/>
    <w:rsid w:val="007A6058"/>
    <w:rsid w:val="007A6F3C"/>
    <w:rsid w:val="007B016B"/>
    <w:rsid w:val="007B03B2"/>
    <w:rsid w:val="007B0EB0"/>
    <w:rsid w:val="007B28FB"/>
    <w:rsid w:val="007B6C7A"/>
    <w:rsid w:val="007B6D5C"/>
    <w:rsid w:val="007B7B83"/>
    <w:rsid w:val="007C1FCA"/>
    <w:rsid w:val="007C2899"/>
    <w:rsid w:val="007C3AAE"/>
    <w:rsid w:val="007C47AB"/>
    <w:rsid w:val="007C77B8"/>
    <w:rsid w:val="007C7C3A"/>
    <w:rsid w:val="007D1F6F"/>
    <w:rsid w:val="007D668E"/>
    <w:rsid w:val="007E01F1"/>
    <w:rsid w:val="007E59C5"/>
    <w:rsid w:val="007E649C"/>
    <w:rsid w:val="007E64F4"/>
    <w:rsid w:val="007E6680"/>
    <w:rsid w:val="007F0949"/>
    <w:rsid w:val="007F5687"/>
    <w:rsid w:val="007F62BC"/>
    <w:rsid w:val="007F7573"/>
    <w:rsid w:val="00800407"/>
    <w:rsid w:val="00801440"/>
    <w:rsid w:val="00803693"/>
    <w:rsid w:val="00807786"/>
    <w:rsid w:val="008121A3"/>
    <w:rsid w:val="00812679"/>
    <w:rsid w:val="00814079"/>
    <w:rsid w:val="00822208"/>
    <w:rsid w:val="0082432D"/>
    <w:rsid w:val="008256E5"/>
    <w:rsid w:val="00830241"/>
    <w:rsid w:val="00830B11"/>
    <w:rsid w:val="00830CF1"/>
    <w:rsid w:val="008328B2"/>
    <w:rsid w:val="0083368D"/>
    <w:rsid w:val="008347B9"/>
    <w:rsid w:val="00836366"/>
    <w:rsid w:val="00851D44"/>
    <w:rsid w:val="00852335"/>
    <w:rsid w:val="00852D9C"/>
    <w:rsid w:val="00853BCC"/>
    <w:rsid w:val="00854403"/>
    <w:rsid w:val="00857F4D"/>
    <w:rsid w:val="00861332"/>
    <w:rsid w:val="008622CF"/>
    <w:rsid w:val="0086453D"/>
    <w:rsid w:val="008662F5"/>
    <w:rsid w:val="00870D07"/>
    <w:rsid w:val="00874A72"/>
    <w:rsid w:val="00875CF7"/>
    <w:rsid w:val="00875D92"/>
    <w:rsid w:val="008772CF"/>
    <w:rsid w:val="0087741E"/>
    <w:rsid w:val="00880F0B"/>
    <w:rsid w:val="00881787"/>
    <w:rsid w:val="0088613E"/>
    <w:rsid w:val="008877F1"/>
    <w:rsid w:val="00890097"/>
    <w:rsid w:val="008901D1"/>
    <w:rsid w:val="0089140A"/>
    <w:rsid w:val="00895646"/>
    <w:rsid w:val="00896284"/>
    <w:rsid w:val="00897D02"/>
    <w:rsid w:val="008A3476"/>
    <w:rsid w:val="008A398A"/>
    <w:rsid w:val="008A5FEE"/>
    <w:rsid w:val="008A6340"/>
    <w:rsid w:val="008B05D1"/>
    <w:rsid w:val="008B2631"/>
    <w:rsid w:val="008B4851"/>
    <w:rsid w:val="008B6887"/>
    <w:rsid w:val="008B7CD4"/>
    <w:rsid w:val="008C11C8"/>
    <w:rsid w:val="008C1674"/>
    <w:rsid w:val="008C7B85"/>
    <w:rsid w:val="008D3448"/>
    <w:rsid w:val="008D5BB6"/>
    <w:rsid w:val="008E175E"/>
    <w:rsid w:val="008E2089"/>
    <w:rsid w:val="008E3844"/>
    <w:rsid w:val="008E4646"/>
    <w:rsid w:val="008E4663"/>
    <w:rsid w:val="008E4A6E"/>
    <w:rsid w:val="008E77AA"/>
    <w:rsid w:val="008F2812"/>
    <w:rsid w:val="00901387"/>
    <w:rsid w:val="0090482E"/>
    <w:rsid w:val="00907E19"/>
    <w:rsid w:val="00910EB0"/>
    <w:rsid w:val="00914A0E"/>
    <w:rsid w:val="0091749D"/>
    <w:rsid w:val="00922A9F"/>
    <w:rsid w:val="00923B95"/>
    <w:rsid w:val="00927E54"/>
    <w:rsid w:val="00931DF4"/>
    <w:rsid w:val="009326BD"/>
    <w:rsid w:val="009333B1"/>
    <w:rsid w:val="00936358"/>
    <w:rsid w:val="00940D1A"/>
    <w:rsid w:val="009434D5"/>
    <w:rsid w:val="00946C68"/>
    <w:rsid w:val="009500A7"/>
    <w:rsid w:val="009535F6"/>
    <w:rsid w:val="00954056"/>
    <w:rsid w:val="009565EA"/>
    <w:rsid w:val="00956952"/>
    <w:rsid w:val="00960AA0"/>
    <w:rsid w:val="00962337"/>
    <w:rsid w:val="0096408A"/>
    <w:rsid w:val="009645DB"/>
    <w:rsid w:val="00964EE2"/>
    <w:rsid w:val="00966026"/>
    <w:rsid w:val="00966405"/>
    <w:rsid w:val="009671EF"/>
    <w:rsid w:val="00967357"/>
    <w:rsid w:val="00967981"/>
    <w:rsid w:val="009679A3"/>
    <w:rsid w:val="00970E5C"/>
    <w:rsid w:val="00970EE0"/>
    <w:rsid w:val="00971807"/>
    <w:rsid w:val="00972E8E"/>
    <w:rsid w:val="00973A6B"/>
    <w:rsid w:val="00974F73"/>
    <w:rsid w:val="0097603C"/>
    <w:rsid w:val="009762C1"/>
    <w:rsid w:val="00976C88"/>
    <w:rsid w:val="00980A89"/>
    <w:rsid w:val="00984188"/>
    <w:rsid w:val="00985085"/>
    <w:rsid w:val="00985DAE"/>
    <w:rsid w:val="009871A7"/>
    <w:rsid w:val="00992702"/>
    <w:rsid w:val="009936CE"/>
    <w:rsid w:val="00993C0D"/>
    <w:rsid w:val="00993D72"/>
    <w:rsid w:val="00994A19"/>
    <w:rsid w:val="009960BA"/>
    <w:rsid w:val="009A10C1"/>
    <w:rsid w:val="009A267A"/>
    <w:rsid w:val="009A2E11"/>
    <w:rsid w:val="009A430E"/>
    <w:rsid w:val="009A497A"/>
    <w:rsid w:val="009A4D37"/>
    <w:rsid w:val="009A665C"/>
    <w:rsid w:val="009B2331"/>
    <w:rsid w:val="009B3A93"/>
    <w:rsid w:val="009B4355"/>
    <w:rsid w:val="009B4D27"/>
    <w:rsid w:val="009B4D51"/>
    <w:rsid w:val="009B5028"/>
    <w:rsid w:val="009B5224"/>
    <w:rsid w:val="009C04B7"/>
    <w:rsid w:val="009C1BDD"/>
    <w:rsid w:val="009C2A54"/>
    <w:rsid w:val="009C359C"/>
    <w:rsid w:val="009C5C35"/>
    <w:rsid w:val="009C5D2D"/>
    <w:rsid w:val="009C6CEE"/>
    <w:rsid w:val="009C7605"/>
    <w:rsid w:val="009C7FB1"/>
    <w:rsid w:val="009D1520"/>
    <w:rsid w:val="009D18C8"/>
    <w:rsid w:val="009D32DE"/>
    <w:rsid w:val="009D41E0"/>
    <w:rsid w:val="009D4624"/>
    <w:rsid w:val="009D46EB"/>
    <w:rsid w:val="009D7E0C"/>
    <w:rsid w:val="009E0FD5"/>
    <w:rsid w:val="009E2D03"/>
    <w:rsid w:val="009E398D"/>
    <w:rsid w:val="009E3BB2"/>
    <w:rsid w:val="009E3C01"/>
    <w:rsid w:val="009E76A8"/>
    <w:rsid w:val="009E79F0"/>
    <w:rsid w:val="009F06A8"/>
    <w:rsid w:val="009F08F7"/>
    <w:rsid w:val="009F777F"/>
    <w:rsid w:val="009F79A8"/>
    <w:rsid w:val="00A033C1"/>
    <w:rsid w:val="00A04CCF"/>
    <w:rsid w:val="00A0623A"/>
    <w:rsid w:val="00A06830"/>
    <w:rsid w:val="00A07460"/>
    <w:rsid w:val="00A119E7"/>
    <w:rsid w:val="00A12EAE"/>
    <w:rsid w:val="00A12F33"/>
    <w:rsid w:val="00A20DB5"/>
    <w:rsid w:val="00A24B4B"/>
    <w:rsid w:val="00A26F88"/>
    <w:rsid w:val="00A32AC9"/>
    <w:rsid w:val="00A34521"/>
    <w:rsid w:val="00A356B8"/>
    <w:rsid w:val="00A361FA"/>
    <w:rsid w:val="00A36AB8"/>
    <w:rsid w:val="00A420CD"/>
    <w:rsid w:val="00A44746"/>
    <w:rsid w:val="00A45801"/>
    <w:rsid w:val="00A45D1B"/>
    <w:rsid w:val="00A47E5E"/>
    <w:rsid w:val="00A51170"/>
    <w:rsid w:val="00A529F2"/>
    <w:rsid w:val="00A52AC1"/>
    <w:rsid w:val="00A53617"/>
    <w:rsid w:val="00A55280"/>
    <w:rsid w:val="00A5530B"/>
    <w:rsid w:val="00A56E61"/>
    <w:rsid w:val="00A573D6"/>
    <w:rsid w:val="00A61B4D"/>
    <w:rsid w:val="00A63B2E"/>
    <w:rsid w:val="00A70380"/>
    <w:rsid w:val="00A73720"/>
    <w:rsid w:val="00A739E5"/>
    <w:rsid w:val="00A74C1B"/>
    <w:rsid w:val="00A75A29"/>
    <w:rsid w:val="00A800F9"/>
    <w:rsid w:val="00A821EB"/>
    <w:rsid w:val="00A823A9"/>
    <w:rsid w:val="00A82B1D"/>
    <w:rsid w:val="00A83392"/>
    <w:rsid w:val="00A83584"/>
    <w:rsid w:val="00A84411"/>
    <w:rsid w:val="00A8687E"/>
    <w:rsid w:val="00A87D96"/>
    <w:rsid w:val="00A909C9"/>
    <w:rsid w:val="00A96580"/>
    <w:rsid w:val="00A97E57"/>
    <w:rsid w:val="00AA0F19"/>
    <w:rsid w:val="00AA1500"/>
    <w:rsid w:val="00AA2DA7"/>
    <w:rsid w:val="00AA40EB"/>
    <w:rsid w:val="00AA5E73"/>
    <w:rsid w:val="00AA7175"/>
    <w:rsid w:val="00AB0F31"/>
    <w:rsid w:val="00AB2075"/>
    <w:rsid w:val="00AB4227"/>
    <w:rsid w:val="00AB6426"/>
    <w:rsid w:val="00AB6530"/>
    <w:rsid w:val="00AC1FFD"/>
    <w:rsid w:val="00AC263A"/>
    <w:rsid w:val="00AC6919"/>
    <w:rsid w:val="00AD02E4"/>
    <w:rsid w:val="00AD76D2"/>
    <w:rsid w:val="00AE2A58"/>
    <w:rsid w:val="00AE2AE4"/>
    <w:rsid w:val="00AE4F48"/>
    <w:rsid w:val="00AE5FEB"/>
    <w:rsid w:val="00AE6A8B"/>
    <w:rsid w:val="00AE6F86"/>
    <w:rsid w:val="00AF5A81"/>
    <w:rsid w:val="00AF6F2D"/>
    <w:rsid w:val="00B023F8"/>
    <w:rsid w:val="00B06ABA"/>
    <w:rsid w:val="00B1032C"/>
    <w:rsid w:val="00B1071C"/>
    <w:rsid w:val="00B1141D"/>
    <w:rsid w:val="00B12C10"/>
    <w:rsid w:val="00B12E2E"/>
    <w:rsid w:val="00B12EA9"/>
    <w:rsid w:val="00B145FE"/>
    <w:rsid w:val="00B174F1"/>
    <w:rsid w:val="00B239D0"/>
    <w:rsid w:val="00B24E1C"/>
    <w:rsid w:val="00B27FA0"/>
    <w:rsid w:val="00B3084A"/>
    <w:rsid w:val="00B30C78"/>
    <w:rsid w:val="00B31593"/>
    <w:rsid w:val="00B357EF"/>
    <w:rsid w:val="00B4077A"/>
    <w:rsid w:val="00B40C90"/>
    <w:rsid w:val="00B42497"/>
    <w:rsid w:val="00B43A30"/>
    <w:rsid w:val="00B46017"/>
    <w:rsid w:val="00B535EF"/>
    <w:rsid w:val="00B5609C"/>
    <w:rsid w:val="00B56ACB"/>
    <w:rsid w:val="00B60490"/>
    <w:rsid w:val="00B6049C"/>
    <w:rsid w:val="00B60BFC"/>
    <w:rsid w:val="00B60E7C"/>
    <w:rsid w:val="00B61301"/>
    <w:rsid w:val="00B615A1"/>
    <w:rsid w:val="00B61842"/>
    <w:rsid w:val="00B6263A"/>
    <w:rsid w:val="00B654A2"/>
    <w:rsid w:val="00B666F4"/>
    <w:rsid w:val="00B67153"/>
    <w:rsid w:val="00B71B71"/>
    <w:rsid w:val="00B72668"/>
    <w:rsid w:val="00B7391D"/>
    <w:rsid w:val="00B73DBE"/>
    <w:rsid w:val="00B745A2"/>
    <w:rsid w:val="00B74EA2"/>
    <w:rsid w:val="00B7544C"/>
    <w:rsid w:val="00B76141"/>
    <w:rsid w:val="00B80C3D"/>
    <w:rsid w:val="00B80F6E"/>
    <w:rsid w:val="00B82479"/>
    <w:rsid w:val="00B830FF"/>
    <w:rsid w:val="00B8332A"/>
    <w:rsid w:val="00B8601B"/>
    <w:rsid w:val="00B95AB4"/>
    <w:rsid w:val="00BA006A"/>
    <w:rsid w:val="00BA4AA1"/>
    <w:rsid w:val="00BA4E15"/>
    <w:rsid w:val="00BA5594"/>
    <w:rsid w:val="00BA6F0B"/>
    <w:rsid w:val="00BB2737"/>
    <w:rsid w:val="00BB3D89"/>
    <w:rsid w:val="00BC3E0C"/>
    <w:rsid w:val="00BC512F"/>
    <w:rsid w:val="00BC639E"/>
    <w:rsid w:val="00BC6CC2"/>
    <w:rsid w:val="00BC760C"/>
    <w:rsid w:val="00BD0985"/>
    <w:rsid w:val="00BD0C30"/>
    <w:rsid w:val="00BE0413"/>
    <w:rsid w:val="00BE0FE6"/>
    <w:rsid w:val="00BE1ED5"/>
    <w:rsid w:val="00BE222B"/>
    <w:rsid w:val="00BE3A34"/>
    <w:rsid w:val="00BE428C"/>
    <w:rsid w:val="00BE4E0D"/>
    <w:rsid w:val="00BE6D3E"/>
    <w:rsid w:val="00BE7663"/>
    <w:rsid w:val="00BE76FD"/>
    <w:rsid w:val="00BE794A"/>
    <w:rsid w:val="00BF1F8D"/>
    <w:rsid w:val="00BF28CE"/>
    <w:rsid w:val="00BF535D"/>
    <w:rsid w:val="00BF7653"/>
    <w:rsid w:val="00BF773B"/>
    <w:rsid w:val="00BF7893"/>
    <w:rsid w:val="00C02680"/>
    <w:rsid w:val="00C02E2D"/>
    <w:rsid w:val="00C044A3"/>
    <w:rsid w:val="00C06BE1"/>
    <w:rsid w:val="00C06DB1"/>
    <w:rsid w:val="00C078E2"/>
    <w:rsid w:val="00C10462"/>
    <w:rsid w:val="00C1099A"/>
    <w:rsid w:val="00C12749"/>
    <w:rsid w:val="00C1608A"/>
    <w:rsid w:val="00C214E3"/>
    <w:rsid w:val="00C241BB"/>
    <w:rsid w:val="00C24BE5"/>
    <w:rsid w:val="00C25935"/>
    <w:rsid w:val="00C30C23"/>
    <w:rsid w:val="00C33526"/>
    <w:rsid w:val="00C356E8"/>
    <w:rsid w:val="00C35A82"/>
    <w:rsid w:val="00C36834"/>
    <w:rsid w:val="00C36E93"/>
    <w:rsid w:val="00C412AC"/>
    <w:rsid w:val="00C45B1E"/>
    <w:rsid w:val="00C45B50"/>
    <w:rsid w:val="00C523DF"/>
    <w:rsid w:val="00C52C75"/>
    <w:rsid w:val="00C53518"/>
    <w:rsid w:val="00C55253"/>
    <w:rsid w:val="00C565BC"/>
    <w:rsid w:val="00C620D8"/>
    <w:rsid w:val="00C62C0E"/>
    <w:rsid w:val="00C65D1F"/>
    <w:rsid w:val="00C67F5F"/>
    <w:rsid w:val="00C705B8"/>
    <w:rsid w:val="00C714D1"/>
    <w:rsid w:val="00C74F38"/>
    <w:rsid w:val="00C777EC"/>
    <w:rsid w:val="00C81B28"/>
    <w:rsid w:val="00C82120"/>
    <w:rsid w:val="00C8565B"/>
    <w:rsid w:val="00C87D74"/>
    <w:rsid w:val="00C87E47"/>
    <w:rsid w:val="00C93B0F"/>
    <w:rsid w:val="00C94453"/>
    <w:rsid w:val="00C953E3"/>
    <w:rsid w:val="00C95513"/>
    <w:rsid w:val="00C97DF4"/>
    <w:rsid w:val="00CA193F"/>
    <w:rsid w:val="00CA6981"/>
    <w:rsid w:val="00CB4AAE"/>
    <w:rsid w:val="00CC37A7"/>
    <w:rsid w:val="00CC422F"/>
    <w:rsid w:val="00CC44B8"/>
    <w:rsid w:val="00CC6A61"/>
    <w:rsid w:val="00CC6A9B"/>
    <w:rsid w:val="00CD00D4"/>
    <w:rsid w:val="00CD3232"/>
    <w:rsid w:val="00CD40C8"/>
    <w:rsid w:val="00CD6D9E"/>
    <w:rsid w:val="00CD7492"/>
    <w:rsid w:val="00CE0785"/>
    <w:rsid w:val="00CE17AF"/>
    <w:rsid w:val="00CE744B"/>
    <w:rsid w:val="00CF3C27"/>
    <w:rsid w:val="00CF4651"/>
    <w:rsid w:val="00D006EA"/>
    <w:rsid w:val="00D04E68"/>
    <w:rsid w:val="00D06C4D"/>
    <w:rsid w:val="00D07DD3"/>
    <w:rsid w:val="00D07E8C"/>
    <w:rsid w:val="00D10783"/>
    <w:rsid w:val="00D13263"/>
    <w:rsid w:val="00D13DF2"/>
    <w:rsid w:val="00D1501E"/>
    <w:rsid w:val="00D166DD"/>
    <w:rsid w:val="00D16BEC"/>
    <w:rsid w:val="00D17066"/>
    <w:rsid w:val="00D20C99"/>
    <w:rsid w:val="00D251A5"/>
    <w:rsid w:val="00D27F88"/>
    <w:rsid w:val="00D32C88"/>
    <w:rsid w:val="00D32EBA"/>
    <w:rsid w:val="00D3367D"/>
    <w:rsid w:val="00D33D55"/>
    <w:rsid w:val="00D3530B"/>
    <w:rsid w:val="00D37121"/>
    <w:rsid w:val="00D371D0"/>
    <w:rsid w:val="00D40B41"/>
    <w:rsid w:val="00D41D96"/>
    <w:rsid w:val="00D42112"/>
    <w:rsid w:val="00D44C66"/>
    <w:rsid w:val="00D511C3"/>
    <w:rsid w:val="00D5224B"/>
    <w:rsid w:val="00D5264F"/>
    <w:rsid w:val="00D52906"/>
    <w:rsid w:val="00D52A25"/>
    <w:rsid w:val="00D5467E"/>
    <w:rsid w:val="00D55071"/>
    <w:rsid w:val="00D5594F"/>
    <w:rsid w:val="00D56D62"/>
    <w:rsid w:val="00D579B5"/>
    <w:rsid w:val="00D6172B"/>
    <w:rsid w:val="00D6299A"/>
    <w:rsid w:val="00D63C7C"/>
    <w:rsid w:val="00D64A68"/>
    <w:rsid w:val="00D66431"/>
    <w:rsid w:val="00D7022E"/>
    <w:rsid w:val="00D70CAA"/>
    <w:rsid w:val="00D71903"/>
    <w:rsid w:val="00D727DF"/>
    <w:rsid w:val="00D73BD8"/>
    <w:rsid w:val="00D73DF9"/>
    <w:rsid w:val="00D73E53"/>
    <w:rsid w:val="00D838D7"/>
    <w:rsid w:val="00D8418D"/>
    <w:rsid w:val="00D84776"/>
    <w:rsid w:val="00D84D46"/>
    <w:rsid w:val="00D85200"/>
    <w:rsid w:val="00D853D8"/>
    <w:rsid w:val="00D875B1"/>
    <w:rsid w:val="00D8785B"/>
    <w:rsid w:val="00D907B1"/>
    <w:rsid w:val="00D911E2"/>
    <w:rsid w:val="00D91F36"/>
    <w:rsid w:val="00D92BBC"/>
    <w:rsid w:val="00D94EF4"/>
    <w:rsid w:val="00D9508B"/>
    <w:rsid w:val="00DA06D3"/>
    <w:rsid w:val="00DA29AA"/>
    <w:rsid w:val="00DA2DAB"/>
    <w:rsid w:val="00DA4F4F"/>
    <w:rsid w:val="00DA632D"/>
    <w:rsid w:val="00DA7B25"/>
    <w:rsid w:val="00DB0E07"/>
    <w:rsid w:val="00DB3276"/>
    <w:rsid w:val="00DB3D3E"/>
    <w:rsid w:val="00DB596F"/>
    <w:rsid w:val="00DB6639"/>
    <w:rsid w:val="00DB6907"/>
    <w:rsid w:val="00DC098E"/>
    <w:rsid w:val="00DC0C28"/>
    <w:rsid w:val="00DC2521"/>
    <w:rsid w:val="00DC30BF"/>
    <w:rsid w:val="00DC46B2"/>
    <w:rsid w:val="00DC58DB"/>
    <w:rsid w:val="00DC60C8"/>
    <w:rsid w:val="00DD2121"/>
    <w:rsid w:val="00DD6FA8"/>
    <w:rsid w:val="00DE099F"/>
    <w:rsid w:val="00DE0F9F"/>
    <w:rsid w:val="00DE10B2"/>
    <w:rsid w:val="00DE1174"/>
    <w:rsid w:val="00DE238F"/>
    <w:rsid w:val="00DE40D9"/>
    <w:rsid w:val="00DE411D"/>
    <w:rsid w:val="00DE4873"/>
    <w:rsid w:val="00DE53EE"/>
    <w:rsid w:val="00DE5489"/>
    <w:rsid w:val="00DE5CAC"/>
    <w:rsid w:val="00DE5EA3"/>
    <w:rsid w:val="00DF1FCE"/>
    <w:rsid w:val="00DF29E2"/>
    <w:rsid w:val="00DF32D9"/>
    <w:rsid w:val="00DF5B78"/>
    <w:rsid w:val="00DF6F39"/>
    <w:rsid w:val="00E005F8"/>
    <w:rsid w:val="00E07792"/>
    <w:rsid w:val="00E11182"/>
    <w:rsid w:val="00E11D04"/>
    <w:rsid w:val="00E122DD"/>
    <w:rsid w:val="00E13639"/>
    <w:rsid w:val="00E1539B"/>
    <w:rsid w:val="00E158CB"/>
    <w:rsid w:val="00E16041"/>
    <w:rsid w:val="00E17EFB"/>
    <w:rsid w:val="00E2536D"/>
    <w:rsid w:val="00E254BD"/>
    <w:rsid w:val="00E25A1C"/>
    <w:rsid w:val="00E3152D"/>
    <w:rsid w:val="00E3564A"/>
    <w:rsid w:val="00E35A41"/>
    <w:rsid w:val="00E37AA6"/>
    <w:rsid w:val="00E37CA7"/>
    <w:rsid w:val="00E4123F"/>
    <w:rsid w:val="00E4204D"/>
    <w:rsid w:val="00E447EA"/>
    <w:rsid w:val="00E459A8"/>
    <w:rsid w:val="00E466CD"/>
    <w:rsid w:val="00E46F04"/>
    <w:rsid w:val="00E513A7"/>
    <w:rsid w:val="00E5148F"/>
    <w:rsid w:val="00E54E69"/>
    <w:rsid w:val="00E55C49"/>
    <w:rsid w:val="00E564F8"/>
    <w:rsid w:val="00E56576"/>
    <w:rsid w:val="00E566B0"/>
    <w:rsid w:val="00E56890"/>
    <w:rsid w:val="00E57071"/>
    <w:rsid w:val="00E602EF"/>
    <w:rsid w:val="00E610B9"/>
    <w:rsid w:val="00E617D5"/>
    <w:rsid w:val="00E61850"/>
    <w:rsid w:val="00E622AF"/>
    <w:rsid w:val="00E65E91"/>
    <w:rsid w:val="00E66229"/>
    <w:rsid w:val="00E7069D"/>
    <w:rsid w:val="00E7309D"/>
    <w:rsid w:val="00E744A7"/>
    <w:rsid w:val="00E75367"/>
    <w:rsid w:val="00E7706B"/>
    <w:rsid w:val="00E83A48"/>
    <w:rsid w:val="00E83C3D"/>
    <w:rsid w:val="00E84DB1"/>
    <w:rsid w:val="00E87868"/>
    <w:rsid w:val="00E8787C"/>
    <w:rsid w:val="00E90C02"/>
    <w:rsid w:val="00E92D7B"/>
    <w:rsid w:val="00E934C3"/>
    <w:rsid w:val="00E9665C"/>
    <w:rsid w:val="00EA114C"/>
    <w:rsid w:val="00EA4866"/>
    <w:rsid w:val="00EA5E43"/>
    <w:rsid w:val="00EA74D8"/>
    <w:rsid w:val="00EB04CB"/>
    <w:rsid w:val="00EB11F2"/>
    <w:rsid w:val="00EB49DD"/>
    <w:rsid w:val="00EB6B42"/>
    <w:rsid w:val="00EC08BE"/>
    <w:rsid w:val="00EC11A9"/>
    <w:rsid w:val="00EC189D"/>
    <w:rsid w:val="00EC2F93"/>
    <w:rsid w:val="00EC3689"/>
    <w:rsid w:val="00EC375B"/>
    <w:rsid w:val="00EC408F"/>
    <w:rsid w:val="00EC6CA5"/>
    <w:rsid w:val="00EC6E04"/>
    <w:rsid w:val="00ED18C4"/>
    <w:rsid w:val="00ED1AC8"/>
    <w:rsid w:val="00ED1FFC"/>
    <w:rsid w:val="00ED2DB8"/>
    <w:rsid w:val="00EE00C2"/>
    <w:rsid w:val="00EE19D0"/>
    <w:rsid w:val="00EE3A04"/>
    <w:rsid w:val="00EE3E04"/>
    <w:rsid w:val="00EE5E48"/>
    <w:rsid w:val="00EF0992"/>
    <w:rsid w:val="00EF1070"/>
    <w:rsid w:val="00EF1E28"/>
    <w:rsid w:val="00EF234C"/>
    <w:rsid w:val="00EF37F2"/>
    <w:rsid w:val="00EF454F"/>
    <w:rsid w:val="00EF4E69"/>
    <w:rsid w:val="00F003D3"/>
    <w:rsid w:val="00F00FD3"/>
    <w:rsid w:val="00F03A7A"/>
    <w:rsid w:val="00F04144"/>
    <w:rsid w:val="00F04192"/>
    <w:rsid w:val="00F0570D"/>
    <w:rsid w:val="00F0576F"/>
    <w:rsid w:val="00F057CA"/>
    <w:rsid w:val="00F06916"/>
    <w:rsid w:val="00F07321"/>
    <w:rsid w:val="00F12EC0"/>
    <w:rsid w:val="00F145E5"/>
    <w:rsid w:val="00F17463"/>
    <w:rsid w:val="00F17A4E"/>
    <w:rsid w:val="00F20438"/>
    <w:rsid w:val="00F21B6E"/>
    <w:rsid w:val="00F21C17"/>
    <w:rsid w:val="00F23606"/>
    <w:rsid w:val="00F239F8"/>
    <w:rsid w:val="00F26378"/>
    <w:rsid w:val="00F2679C"/>
    <w:rsid w:val="00F273E4"/>
    <w:rsid w:val="00F31597"/>
    <w:rsid w:val="00F33A50"/>
    <w:rsid w:val="00F363E1"/>
    <w:rsid w:val="00F372DA"/>
    <w:rsid w:val="00F403C5"/>
    <w:rsid w:val="00F426B1"/>
    <w:rsid w:val="00F42CFD"/>
    <w:rsid w:val="00F43CC5"/>
    <w:rsid w:val="00F4553B"/>
    <w:rsid w:val="00F520DF"/>
    <w:rsid w:val="00F52128"/>
    <w:rsid w:val="00F53804"/>
    <w:rsid w:val="00F53DEA"/>
    <w:rsid w:val="00F54BE6"/>
    <w:rsid w:val="00F57804"/>
    <w:rsid w:val="00F57836"/>
    <w:rsid w:val="00F608EF"/>
    <w:rsid w:val="00F60B76"/>
    <w:rsid w:val="00F67797"/>
    <w:rsid w:val="00F70693"/>
    <w:rsid w:val="00F70751"/>
    <w:rsid w:val="00F70D92"/>
    <w:rsid w:val="00F70E65"/>
    <w:rsid w:val="00F733BB"/>
    <w:rsid w:val="00F735D9"/>
    <w:rsid w:val="00F739A8"/>
    <w:rsid w:val="00F73ADD"/>
    <w:rsid w:val="00F761C0"/>
    <w:rsid w:val="00F77CA1"/>
    <w:rsid w:val="00F81366"/>
    <w:rsid w:val="00F82B8A"/>
    <w:rsid w:val="00F837DB"/>
    <w:rsid w:val="00F83933"/>
    <w:rsid w:val="00F85AF7"/>
    <w:rsid w:val="00F862D5"/>
    <w:rsid w:val="00F86628"/>
    <w:rsid w:val="00F90EC8"/>
    <w:rsid w:val="00F91976"/>
    <w:rsid w:val="00F930DF"/>
    <w:rsid w:val="00F935AE"/>
    <w:rsid w:val="00F945B4"/>
    <w:rsid w:val="00F96578"/>
    <w:rsid w:val="00F973B7"/>
    <w:rsid w:val="00FA0163"/>
    <w:rsid w:val="00FA0559"/>
    <w:rsid w:val="00FA13A5"/>
    <w:rsid w:val="00FA2C62"/>
    <w:rsid w:val="00FA37C8"/>
    <w:rsid w:val="00FA3B3B"/>
    <w:rsid w:val="00FB0A7C"/>
    <w:rsid w:val="00FB1051"/>
    <w:rsid w:val="00FB1CC8"/>
    <w:rsid w:val="00FB3FBF"/>
    <w:rsid w:val="00FB43EC"/>
    <w:rsid w:val="00FB4C4D"/>
    <w:rsid w:val="00FB6B51"/>
    <w:rsid w:val="00FC3954"/>
    <w:rsid w:val="00FC4657"/>
    <w:rsid w:val="00FC7746"/>
    <w:rsid w:val="00FD3D61"/>
    <w:rsid w:val="00FD5059"/>
    <w:rsid w:val="00FD5583"/>
    <w:rsid w:val="00FD6C19"/>
    <w:rsid w:val="00FD6E75"/>
    <w:rsid w:val="00FD7428"/>
    <w:rsid w:val="00FD7931"/>
    <w:rsid w:val="00FE114B"/>
    <w:rsid w:val="00FE1E21"/>
    <w:rsid w:val="00FE2DD3"/>
    <w:rsid w:val="00FE2E2A"/>
    <w:rsid w:val="00FE58B3"/>
    <w:rsid w:val="00FE5E5A"/>
    <w:rsid w:val="00FE5FA2"/>
    <w:rsid w:val="00FF136C"/>
    <w:rsid w:val="00FF286B"/>
    <w:rsid w:val="00FF3658"/>
    <w:rsid w:val="00FF41F1"/>
    <w:rsid w:val="01346FB8"/>
    <w:rsid w:val="016D4D19"/>
    <w:rsid w:val="021A2364"/>
    <w:rsid w:val="023C3C45"/>
    <w:rsid w:val="02C646E1"/>
    <w:rsid w:val="03156FC5"/>
    <w:rsid w:val="039E11BA"/>
    <w:rsid w:val="03C230FA"/>
    <w:rsid w:val="03E706C3"/>
    <w:rsid w:val="03EE0EBA"/>
    <w:rsid w:val="041653EF"/>
    <w:rsid w:val="045E2932"/>
    <w:rsid w:val="04C54565"/>
    <w:rsid w:val="050E568E"/>
    <w:rsid w:val="05CB72D4"/>
    <w:rsid w:val="05E96FB7"/>
    <w:rsid w:val="060E16DF"/>
    <w:rsid w:val="062312F5"/>
    <w:rsid w:val="063522A9"/>
    <w:rsid w:val="068720F0"/>
    <w:rsid w:val="06F934DA"/>
    <w:rsid w:val="07320597"/>
    <w:rsid w:val="076978A3"/>
    <w:rsid w:val="07704EFB"/>
    <w:rsid w:val="078E3376"/>
    <w:rsid w:val="07BC70C8"/>
    <w:rsid w:val="07E95C88"/>
    <w:rsid w:val="07F27D26"/>
    <w:rsid w:val="08650E17"/>
    <w:rsid w:val="08B23012"/>
    <w:rsid w:val="094B3B92"/>
    <w:rsid w:val="09977DA3"/>
    <w:rsid w:val="09C23383"/>
    <w:rsid w:val="0A090F64"/>
    <w:rsid w:val="0B8C2A7E"/>
    <w:rsid w:val="0C3D3FF4"/>
    <w:rsid w:val="0C476893"/>
    <w:rsid w:val="0C5A3BCF"/>
    <w:rsid w:val="0C7949B4"/>
    <w:rsid w:val="0C846BD5"/>
    <w:rsid w:val="0C961AAB"/>
    <w:rsid w:val="0D960757"/>
    <w:rsid w:val="0DA874B2"/>
    <w:rsid w:val="0DD3401D"/>
    <w:rsid w:val="0DF43A65"/>
    <w:rsid w:val="0E03495E"/>
    <w:rsid w:val="0E0F5E8A"/>
    <w:rsid w:val="0E5F5EAC"/>
    <w:rsid w:val="0E680D42"/>
    <w:rsid w:val="0E9D4919"/>
    <w:rsid w:val="0EAF25C9"/>
    <w:rsid w:val="0EFE3455"/>
    <w:rsid w:val="0F464525"/>
    <w:rsid w:val="0F9222C6"/>
    <w:rsid w:val="0F943FE3"/>
    <w:rsid w:val="0F9F1C7D"/>
    <w:rsid w:val="0FC02774"/>
    <w:rsid w:val="0FD3511B"/>
    <w:rsid w:val="103A0698"/>
    <w:rsid w:val="106F14D5"/>
    <w:rsid w:val="10780F2F"/>
    <w:rsid w:val="10CA1840"/>
    <w:rsid w:val="10FD60CC"/>
    <w:rsid w:val="11884B4A"/>
    <w:rsid w:val="11971F83"/>
    <w:rsid w:val="12446E99"/>
    <w:rsid w:val="12655527"/>
    <w:rsid w:val="126D6D30"/>
    <w:rsid w:val="12965D6F"/>
    <w:rsid w:val="12E7454B"/>
    <w:rsid w:val="12EC4F27"/>
    <w:rsid w:val="13174AE5"/>
    <w:rsid w:val="13562671"/>
    <w:rsid w:val="13797400"/>
    <w:rsid w:val="13F47103"/>
    <w:rsid w:val="14100A0E"/>
    <w:rsid w:val="14104519"/>
    <w:rsid w:val="141755FE"/>
    <w:rsid w:val="143E42EA"/>
    <w:rsid w:val="1445327D"/>
    <w:rsid w:val="14692A74"/>
    <w:rsid w:val="15062FB1"/>
    <w:rsid w:val="15247B2D"/>
    <w:rsid w:val="156D05DE"/>
    <w:rsid w:val="15932B49"/>
    <w:rsid w:val="15C01464"/>
    <w:rsid w:val="15C86BCC"/>
    <w:rsid w:val="15D74A1F"/>
    <w:rsid w:val="162F410C"/>
    <w:rsid w:val="16C2564F"/>
    <w:rsid w:val="1703331F"/>
    <w:rsid w:val="17424CCA"/>
    <w:rsid w:val="17D66D1D"/>
    <w:rsid w:val="18034801"/>
    <w:rsid w:val="181812B8"/>
    <w:rsid w:val="18A40BAD"/>
    <w:rsid w:val="18AB4086"/>
    <w:rsid w:val="18B33DB5"/>
    <w:rsid w:val="18B7238C"/>
    <w:rsid w:val="190F6618"/>
    <w:rsid w:val="19321F8E"/>
    <w:rsid w:val="193F08F1"/>
    <w:rsid w:val="199B7BC7"/>
    <w:rsid w:val="19FB3828"/>
    <w:rsid w:val="1A0948F6"/>
    <w:rsid w:val="1A846B47"/>
    <w:rsid w:val="1AD25008"/>
    <w:rsid w:val="1AFF2A2E"/>
    <w:rsid w:val="1B420F29"/>
    <w:rsid w:val="1BBB7239"/>
    <w:rsid w:val="1C26254D"/>
    <w:rsid w:val="1CC33AE8"/>
    <w:rsid w:val="1CEC2B3E"/>
    <w:rsid w:val="1DCE667D"/>
    <w:rsid w:val="1DEF4E15"/>
    <w:rsid w:val="1E571030"/>
    <w:rsid w:val="1E711040"/>
    <w:rsid w:val="1E73268E"/>
    <w:rsid w:val="1F29586E"/>
    <w:rsid w:val="1FC146F8"/>
    <w:rsid w:val="1FC85AE5"/>
    <w:rsid w:val="1FE92101"/>
    <w:rsid w:val="2007198B"/>
    <w:rsid w:val="20100769"/>
    <w:rsid w:val="201425FD"/>
    <w:rsid w:val="20307038"/>
    <w:rsid w:val="203A3EBE"/>
    <w:rsid w:val="205A12E2"/>
    <w:rsid w:val="20CE4D52"/>
    <w:rsid w:val="20F26AFB"/>
    <w:rsid w:val="20FF51C6"/>
    <w:rsid w:val="2110329F"/>
    <w:rsid w:val="21173433"/>
    <w:rsid w:val="212C5BFF"/>
    <w:rsid w:val="21480A65"/>
    <w:rsid w:val="21A83A96"/>
    <w:rsid w:val="21B1017A"/>
    <w:rsid w:val="21FD72E6"/>
    <w:rsid w:val="222E6304"/>
    <w:rsid w:val="223D5140"/>
    <w:rsid w:val="22984855"/>
    <w:rsid w:val="22EA0FB8"/>
    <w:rsid w:val="230566F5"/>
    <w:rsid w:val="238B4095"/>
    <w:rsid w:val="23B065CF"/>
    <w:rsid w:val="23BE332D"/>
    <w:rsid w:val="23D15475"/>
    <w:rsid w:val="24174945"/>
    <w:rsid w:val="244577AD"/>
    <w:rsid w:val="253453E3"/>
    <w:rsid w:val="25627E42"/>
    <w:rsid w:val="256B2444"/>
    <w:rsid w:val="25950217"/>
    <w:rsid w:val="25F80A39"/>
    <w:rsid w:val="261B6D72"/>
    <w:rsid w:val="26325A66"/>
    <w:rsid w:val="26C57278"/>
    <w:rsid w:val="275B3E2D"/>
    <w:rsid w:val="278C58C2"/>
    <w:rsid w:val="27C93AE8"/>
    <w:rsid w:val="282033DB"/>
    <w:rsid w:val="284829D2"/>
    <w:rsid w:val="28985A22"/>
    <w:rsid w:val="289B4636"/>
    <w:rsid w:val="29422464"/>
    <w:rsid w:val="29B35277"/>
    <w:rsid w:val="29FC6AB7"/>
    <w:rsid w:val="2A5F71DC"/>
    <w:rsid w:val="2A6D7F28"/>
    <w:rsid w:val="2AF46C48"/>
    <w:rsid w:val="2AF71305"/>
    <w:rsid w:val="2B027D4D"/>
    <w:rsid w:val="2B4A5DC7"/>
    <w:rsid w:val="2C471295"/>
    <w:rsid w:val="2C8F3515"/>
    <w:rsid w:val="2CE1542E"/>
    <w:rsid w:val="2D7A1882"/>
    <w:rsid w:val="2D84145F"/>
    <w:rsid w:val="2DE36310"/>
    <w:rsid w:val="2DF80882"/>
    <w:rsid w:val="2E0D11C4"/>
    <w:rsid w:val="2E10498C"/>
    <w:rsid w:val="2E994D9D"/>
    <w:rsid w:val="2EF5198B"/>
    <w:rsid w:val="2F2B4B87"/>
    <w:rsid w:val="2F3E4E28"/>
    <w:rsid w:val="2F4850AA"/>
    <w:rsid w:val="2FE1275A"/>
    <w:rsid w:val="2FFB52DE"/>
    <w:rsid w:val="301316C1"/>
    <w:rsid w:val="30223092"/>
    <w:rsid w:val="304E0992"/>
    <w:rsid w:val="312F7772"/>
    <w:rsid w:val="319D387B"/>
    <w:rsid w:val="31D44E62"/>
    <w:rsid w:val="328D1E82"/>
    <w:rsid w:val="32901B32"/>
    <w:rsid w:val="32B310BD"/>
    <w:rsid w:val="33874F83"/>
    <w:rsid w:val="3395214F"/>
    <w:rsid w:val="33976A92"/>
    <w:rsid w:val="33E22AAC"/>
    <w:rsid w:val="347A7FFC"/>
    <w:rsid w:val="34CB290A"/>
    <w:rsid w:val="34FB5B37"/>
    <w:rsid w:val="353335A8"/>
    <w:rsid w:val="3661048F"/>
    <w:rsid w:val="36A81082"/>
    <w:rsid w:val="36BD28D3"/>
    <w:rsid w:val="370B5E6C"/>
    <w:rsid w:val="376B527C"/>
    <w:rsid w:val="376F5E88"/>
    <w:rsid w:val="37D9150C"/>
    <w:rsid w:val="37E71D0A"/>
    <w:rsid w:val="38257B19"/>
    <w:rsid w:val="38D50B2A"/>
    <w:rsid w:val="38E80A0F"/>
    <w:rsid w:val="3914168A"/>
    <w:rsid w:val="39196D2C"/>
    <w:rsid w:val="39964617"/>
    <w:rsid w:val="3A7554DD"/>
    <w:rsid w:val="3A8745BB"/>
    <w:rsid w:val="3B564333"/>
    <w:rsid w:val="3B6A424E"/>
    <w:rsid w:val="3B871357"/>
    <w:rsid w:val="3B966D48"/>
    <w:rsid w:val="3BB87981"/>
    <w:rsid w:val="3BB95D72"/>
    <w:rsid w:val="3BC075E9"/>
    <w:rsid w:val="3C0E61D6"/>
    <w:rsid w:val="3C5A6058"/>
    <w:rsid w:val="3CD57159"/>
    <w:rsid w:val="3D28466F"/>
    <w:rsid w:val="3D62470E"/>
    <w:rsid w:val="3DE87C02"/>
    <w:rsid w:val="3E160E69"/>
    <w:rsid w:val="3E3438E1"/>
    <w:rsid w:val="3E5743BA"/>
    <w:rsid w:val="3E5C147A"/>
    <w:rsid w:val="3E9B605C"/>
    <w:rsid w:val="3EB93A19"/>
    <w:rsid w:val="3EFA3B14"/>
    <w:rsid w:val="3F531EAF"/>
    <w:rsid w:val="3F627B88"/>
    <w:rsid w:val="40487C7D"/>
    <w:rsid w:val="4052745A"/>
    <w:rsid w:val="40951AD5"/>
    <w:rsid w:val="40B01F51"/>
    <w:rsid w:val="41783342"/>
    <w:rsid w:val="41860CEF"/>
    <w:rsid w:val="41B90CDB"/>
    <w:rsid w:val="421722D2"/>
    <w:rsid w:val="422563E9"/>
    <w:rsid w:val="423C5CCC"/>
    <w:rsid w:val="42732B56"/>
    <w:rsid w:val="42915555"/>
    <w:rsid w:val="42A012DD"/>
    <w:rsid w:val="42E934F8"/>
    <w:rsid w:val="43541B88"/>
    <w:rsid w:val="438411E9"/>
    <w:rsid w:val="43972F54"/>
    <w:rsid w:val="43D1290A"/>
    <w:rsid w:val="43F43301"/>
    <w:rsid w:val="44973C71"/>
    <w:rsid w:val="449F0313"/>
    <w:rsid w:val="44B0198B"/>
    <w:rsid w:val="45B24F54"/>
    <w:rsid w:val="45F7747F"/>
    <w:rsid w:val="46460F86"/>
    <w:rsid w:val="476317D0"/>
    <w:rsid w:val="47691A6A"/>
    <w:rsid w:val="479C7D30"/>
    <w:rsid w:val="47DA1364"/>
    <w:rsid w:val="48080D32"/>
    <w:rsid w:val="48AC726A"/>
    <w:rsid w:val="491B5518"/>
    <w:rsid w:val="49256164"/>
    <w:rsid w:val="4973665F"/>
    <w:rsid w:val="498F2B45"/>
    <w:rsid w:val="49A861FB"/>
    <w:rsid w:val="4A4104DF"/>
    <w:rsid w:val="4A560F6B"/>
    <w:rsid w:val="4B0371DB"/>
    <w:rsid w:val="4B082DBB"/>
    <w:rsid w:val="4B5637AE"/>
    <w:rsid w:val="4B5B3352"/>
    <w:rsid w:val="4B8F4598"/>
    <w:rsid w:val="4BC30D8B"/>
    <w:rsid w:val="4C3B5A9B"/>
    <w:rsid w:val="4C90033A"/>
    <w:rsid w:val="4CC02733"/>
    <w:rsid w:val="4CFC520A"/>
    <w:rsid w:val="4D09657A"/>
    <w:rsid w:val="4D2D6708"/>
    <w:rsid w:val="4D7B4200"/>
    <w:rsid w:val="4D9343C9"/>
    <w:rsid w:val="4DD31C16"/>
    <w:rsid w:val="4DFC2D75"/>
    <w:rsid w:val="4E0C20C3"/>
    <w:rsid w:val="4E1B20DC"/>
    <w:rsid w:val="4E4D2A12"/>
    <w:rsid w:val="4E6D7468"/>
    <w:rsid w:val="4EB70D4A"/>
    <w:rsid w:val="4EC07B7B"/>
    <w:rsid w:val="4EC254C9"/>
    <w:rsid w:val="4F9F566B"/>
    <w:rsid w:val="4FCA5270"/>
    <w:rsid w:val="4FE66E80"/>
    <w:rsid w:val="502D1BE3"/>
    <w:rsid w:val="503167DB"/>
    <w:rsid w:val="506131CB"/>
    <w:rsid w:val="51004AE5"/>
    <w:rsid w:val="511734BA"/>
    <w:rsid w:val="5165415A"/>
    <w:rsid w:val="51DB752B"/>
    <w:rsid w:val="51F52B36"/>
    <w:rsid w:val="521137DB"/>
    <w:rsid w:val="525F619A"/>
    <w:rsid w:val="52644073"/>
    <w:rsid w:val="52E63D12"/>
    <w:rsid w:val="52FC518B"/>
    <w:rsid w:val="531E5668"/>
    <w:rsid w:val="532071FF"/>
    <w:rsid w:val="536812CD"/>
    <w:rsid w:val="54573B49"/>
    <w:rsid w:val="550A5F2B"/>
    <w:rsid w:val="552B0870"/>
    <w:rsid w:val="55724988"/>
    <w:rsid w:val="55871C39"/>
    <w:rsid w:val="55C72065"/>
    <w:rsid w:val="56B90DAC"/>
    <w:rsid w:val="572E3D60"/>
    <w:rsid w:val="57AB6427"/>
    <w:rsid w:val="57B72C3D"/>
    <w:rsid w:val="57D97EF0"/>
    <w:rsid w:val="57E62200"/>
    <w:rsid w:val="58486983"/>
    <w:rsid w:val="58610BED"/>
    <w:rsid w:val="58957278"/>
    <w:rsid w:val="58B12A2B"/>
    <w:rsid w:val="58CA59B5"/>
    <w:rsid w:val="58EA4010"/>
    <w:rsid w:val="58F87494"/>
    <w:rsid w:val="59093CB5"/>
    <w:rsid w:val="593C358F"/>
    <w:rsid w:val="594E4379"/>
    <w:rsid w:val="59B26FA3"/>
    <w:rsid w:val="5A2204BD"/>
    <w:rsid w:val="5A664999"/>
    <w:rsid w:val="5A867BCC"/>
    <w:rsid w:val="5AA11669"/>
    <w:rsid w:val="5AEC4E7A"/>
    <w:rsid w:val="5B1811AF"/>
    <w:rsid w:val="5B300946"/>
    <w:rsid w:val="5B6911D6"/>
    <w:rsid w:val="5B694D7F"/>
    <w:rsid w:val="5BA425DC"/>
    <w:rsid w:val="5C165DDD"/>
    <w:rsid w:val="5C3262B7"/>
    <w:rsid w:val="5C8A1451"/>
    <w:rsid w:val="5CC52489"/>
    <w:rsid w:val="5D790367"/>
    <w:rsid w:val="5D9F27A5"/>
    <w:rsid w:val="5DAD36A2"/>
    <w:rsid w:val="5DCB7503"/>
    <w:rsid w:val="5DF4386D"/>
    <w:rsid w:val="5E323B4E"/>
    <w:rsid w:val="5E556792"/>
    <w:rsid w:val="5E6E5FE7"/>
    <w:rsid w:val="5E862575"/>
    <w:rsid w:val="5EB73272"/>
    <w:rsid w:val="5EE34D7A"/>
    <w:rsid w:val="5F445972"/>
    <w:rsid w:val="5F5D18BF"/>
    <w:rsid w:val="5F7B2B2E"/>
    <w:rsid w:val="5F8F74AA"/>
    <w:rsid w:val="5FA309E1"/>
    <w:rsid w:val="5FA77D87"/>
    <w:rsid w:val="5FAE4B8E"/>
    <w:rsid w:val="5FB84673"/>
    <w:rsid w:val="5FBC1753"/>
    <w:rsid w:val="601C6CAD"/>
    <w:rsid w:val="60CE7B5E"/>
    <w:rsid w:val="61BA4488"/>
    <w:rsid w:val="61C01FB0"/>
    <w:rsid w:val="639C4B24"/>
    <w:rsid w:val="63F12F92"/>
    <w:rsid w:val="648637F0"/>
    <w:rsid w:val="64DF3A4F"/>
    <w:rsid w:val="6505281A"/>
    <w:rsid w:val="65A45331"/>
    <w:rsid w:val="65D63171"/>
    <w:rsid w:val="65F8567D"/>
    <w:rsid w:val="66065663"/>
    <w:rsid w:val="66244314"/>
    <w:rsid w:val="6660178B"/>
    <w:rsid w:val="66B21CD0"/>
    <w:rsid w:val="670A5C34"/>
    <w:rsid w:val="671F514E"/>
    <w:rsid w:val="679F6E2F"/>
    <w:rsid w:val="67B17A5C"/>
    <w:rsid w:val="68013C60"/>
    <w:rsid w:val="680E41B5"/>
    <w:rsid w:val="68360A70"/>
    <w:rsid w:val="6877224D"/>
    <w:rsid w:val="68FB40C4"/>
    <w:rsid w:val="69602E62"/>
    <w:rsid w:val="6A66407C"/>
    <w:rsid w:val="6A6F3148"/>
    <w:rsid w:val="6AA81420"/>
    <w:rsid w:val="6ACB400B"/>
    <w:rsid w:val="6AFF5E80"/>
    <w:rsid w:val="6B99139C"/>
    <w:rsid w:val="6BFE2C48"/>
    <w:rsid w:val="6C3B0991"/>
    <w:rsid w:val="6C911416"/>
    <w:rsid w:val="6CB46566"/>
    <w:rsid w:val="6CD9285A"/>
    <w:rsid w:val="6CEA76F5"/>
    <w:rsid w:val="6DC018CB"/>
    <w:rsid w:val="6DC9460F"/>
    <w:rsid w:val="6DF2390B"/>
    <w:rsid w:val="6E0A397D"/>
    <w:rsid w:val="6E702630"/>
    <w:rsid w:val="6EA13E81"/>
    <w:rsid w:val="6EFD4AF3"/>
    <w:rsid w:val="6F63792C"/>
    <w:rsid w:val="6F8B4AF0"/>
    <w:rsid w:val="70266706"/>
    <w:rsid w:val="703B5802"/>
    <w:rsid w:val="70643746"/>
    <w:rsid w:val="70781916"/>
    <w:rsid w:val="70C9307F"/>
    <w:rsid w:val="70D14E2B"/>
    <w:rsid w:val="70DA638C"/>
    <w:rsid w:val="70FA4517"/>
    <w:rsid w:val="71722787"/>
    <w:rsid w:val="71C41F17"/>
    <w:rsid w:val="71D8576D"/>
    <w:rsid w:val="71F86AB5"/>
    <w:rsid w:val="722E0732"/>
    <w:rsid w:val="73046D58"/>
    <w:rsid w:val="733A72D5"/>
    <w:rsid w:val="73445AAB"/>
    <w:rsid w:val="73D21852"/>
    <w:rsid w:val="73D65AE4"/>
    <w:rsid w:val="73E77512"/>
    <w:rsid w:val="745919DD"/>
    <w:rsid w:val="74AF708A"/>
    <w:rsid w:val="74D93943"/>
    <w:rsid w:val="75B96DB4"/>
    <w:rsid w:val="75F03EB4"/>
    <w:rsid w:val="761C57E1"/>
    <w:rsid w:val="76215D67"/>
    <w:rsid w:val="7652368D"/>
    <w:rsid w:val="76F8372F"/>
    <w:rsid w:val="76FF73CF"/>
    <w:rsid w:val="770B48A0"/>
    <w:rsid w:val="7735461C"/>
    <w:rsid w:val="775946EA"/>
    <w:rsid w:val="77764F9C"/>
    <w:rsid w:val="77C608D0"/>
    <w:rsid w:val="78315D32"/>
    <w:rsid w:val="78CF40E7"/>
    <w:rsid w:val="78E42154"/>
    <w:rsid w:val="78E76AE9"/>
    <w:rsid w:val="790203E4"/>
    <w:rsid w:val="791F064A"/>
    <w:rsid w:val="79667CD0"/>
    <w:rsid w:val="79871B57"/>
    <w:rsid w:val="79DE7DB0"/>
    <w:rsid w:val="79E24222"/>
    <w:rsid w:val="79E346A6"/>
    <w:rsid w:val="7A1250E4"/>
    <w:rsid w:val="7A31104D"/>
    <w:rsid w:val="7AA87FE8"/>
    <w:rsid w:val="7AB3209D"/>
    <w:rsid w:val="7AEF4E03"/>
    <w:rsid w:val="7B0D6762"/>
    <w:rsid w:val="7B132FD8"/>
    <w:rsid w:val="7B3717B0"/>
    <w:rsid w:val="7B9559F0"/>
    <w:rsid w:val="7BB15171"/>
    <w:rsid w:val="7BBE24C8"/>
    <w:rsid w:val="7BD71E5E"/>
    <w:rsid w:val="7C5739AD"/>
    <w:rsid w:val="7C575AA4"/>
    <w:rsid w:val="7CB857CF"/>
    <w:rsid w:val="7D2A7C8A"/>
    <w:rsid w:val="7D576A83"/>
    <w:rsid w:val="7D866A9C"/>
    <w:rsid w:val="7D9735B2"/>
    <w:rsid w:val="7E4234E1"/>
    <w:rsid w:val="7E8A55B4"/>
    <w:rsid w:val="7EEB22CB"/>
    <w:rsid w:val="7F23754C"/>
    <w:rsid w:val="7F67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B7FBB82"/>
  <w15:docId w15:val="{2B579514-1943-42DC-91E4-1D74830A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uiPriority="99" w:unhideWhenUsed="1" w:qFormat="1"/>
    <w:lsdException w:name="Note Heading" w:semiHidden="1" w:unhideWhenUsed="1"/>
    <w:lsdException w:name="Body Text 2" w:semiHidden="1" w:unhideWhenUsed="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cs="黑体"/>
      <w:kern w:val="2"/>
      <w:sz w:val="21"/>
      <w:szCs w:val="22"/>
    </w:rPr>
  </w:style>
  <w:style w:type="paragraph" w:styleId="1">
    <w:name w:val="heading 1"/>
    <w:basedOn w:val="a0"/>
    <w:next w:val="a0"/>
    <w:link w:val="11"/>
    <w:qFormat/>
    <w:pPr>
      <w:keepNext/>
      <w:keepLines/>
      <w:adjustRightInd w:val="0"/>
      <w:snapToGrid w:val="0"/>
      <w:spacing w:line="300" w:lineRule="auto"/>
      <w:ind w:firstLineChars="200" w:firstLine="560"/>
      <w:jc w:val="center"/>
      <w:outlineLvl w:val="0"/>
    </w:pPr>
    <w:rPr>
      <w:rFonts w:ascii="Arial" w:eastAsia="黑体" w:hAnsi="Arial" w:cs="Times New Roman"/>
      <w:bCs/>
      <w:snapToGrid w:val="0"/>
      <w:kern w:val="0"/>
      <w:sz w:val="28"/>
      <w:szCs w:val="28"/>
    </w:rPr>
  </w:style>
  <w:style w:type="paragraph" w:styleId="2">
    <w:name w:val="heading 2"/>
    <w:basedOn w:val="a0"/>
    <w:next w:val="a0"/>
    <w:qFormat/>
    <w:pPr>
      <w:keepNext/>
      <w:keepLines/>
      <w:spacing w:before="260" w:after="260" w:line="416" w:lineRule="auto"/>
      <w:outlineLvl w:val="1"/>
    </w:pPr>
    <w:rPr>
      <w:rFonts w:ascii="Arial" w:eastAsia="黑体" w:hAnsi="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1"/>
    <w:qFormat/>
    <w:rPr>
      <w:rFonts w:eastAsia="仿宋_GB2312"/>
      <w:sz w:val="32"/>
    </w:rPr>
  </w:style>
  <w:style w:type="paragraph" w:styleId="a6">
    <w:name w:val="annotation text"/>
    <w:basedOn w:val="a0"/>
    <w:link w:val="10"/>
    <w:unhideWhenUsed/>
    <w:qFormat/>
    <w:pPr>
      <w:jc w:val="left"/>
    </w:pPr>
    <w:rPr>
      <w:rFonts w:cs="Times New Roman"/>
    </w:rPr>
  </w:style>
  <w:style w:type="paragraph" w:styleId="3">
    <w:name w:val="Body Text 3"/>
    <w:basedOn w:val="a0"/>
    <w:link w:val="31"/>
    <w:uiPriority w:val="99"/>
    <w:unhideWhenUsed/>
    <w:qFormat/>
    <w:pPr>
      <w:widowControl/>
    </w:pPr>
    <w:rPr>
      <w:rFonts w:eastAsia="仿宋_GB2312" w:cs="Times New Roman"/>
      <w:kern w:val="0"/>
      <w:sz w:val="28"/>
      <w:szCs w:val="28"/>
    </w:rPr>
  </w:style>
  <w:style w:type="paragraph" w:styleId="a7">
    <w:name w:val="Body Text Indent"/>
    <w:basedOn w:val="a0"/>
    <w:qFormat/>
    <w:pPr>
      <w:spacing w:line="360" w:lineRule="auto"/>
      <w:ind w:firstLineChars="200" w:firstLine="560"/>
    </w:pPr>
    <w:rPr>
      <w:sz w:val="28"/>
      <w:szCs w:val="20"/>
    </w:rPr>
  </w:style>
  <w:style w:type="paragraph" w:styleId="TOC3">
    <w:name w:val="toc 3"/>
    <w:basedOn w:val="TOC2"/>
    <w:next w:val="a0"/>
    <w:uiPriority w:val="39"/>
    <w:qFormat/>
    <w:pPr>
      <w:widowControl/>
      <w:ind w:leftChars="0" w:left="0"/>
    </w:pPr>
    <w:rPr>
      <w:rFonts w:ascii="宋体"/>
      <w:kern w:val="0"/>
      <w:szCs w:val="20"/>
    </w:rPr>
  </w:style>
  <w:style w:type="paragraph" w:styleId="TOC2">
    <w:name w:val="toc 2"/>
    <w:basedOn w:val="a0"/>
    <w:next w:val="a0"/>
    <w:uiPriority w:val="39"/>
    <w:unhideWhenUsed/>
    <w:qFormat/>
    <w:pPr>
      <w:ind w:leftChars="200" w:left="420"/>
    </w:pPr>
  </w:style>
  <w:style w:type="paragraph" w:styleId="a8">
    <w:name w:val="Plain Text"/>
    <w:basedOn w:val="a0"/>
    <w:qFormat/>
    <w:rPr>
      <w:rFonts w:ascii="宋体" w:hAnsi="Courier New"/>
    </w:rPr>
  </w:style>
  <w:style w:type="paragraph" w:styleId="a9">
    <w:name w:val="Date"/>
    <w:basedOn w:val="a0"/>
    <w:next w:val="a0"/>
    <w:link w:val="aa"/>
    <w:unhideWhenUsed/>
    <w:qFormat/>
    <w:pPr>
      <w:ind w:leftChars="2500" w:left="100"/>
    </w:pPr>
    <w:rPr>
      <w:rFonts w:cs="Times New Roman"/>
    </w:rPr>
  </w:style>
  <w:style w:type="paragraph" w:styleId="ab">
    <w:name w:val="Balloon Text"/>
    <w:basedOn w:val="a0"/>
    <w:link w:val="12"/>
    <w:uiPriority w:val="99"/>
    <w:unhideWhenUsed/>
    <w:qFormat/>
    <w:rPr>
      <w:rFonts w:cs="Times New Roman"/>
      <w:kern w:val="0"/>
      <w:sz w:val="18"/>
      <w:szCs w:val="18"/>
    </w:rPr>
  </w:style>
  <w:style w:type="paragraph" w:styleId="ac">
    <w:name w:val="footer"/>
    <w:basedOn w:val="a0"/>
    <w:link w:val="13"/>
    <w:uiPriority w:val="99"/>
    <w:unhideWhenUsed/>
    <w:qFormat/>
    <w:pPr>
      <w:tabs>
        <w:tab w:val="center" w:pos="4153"/>
        <w:tab w:val="right" w:pos="8306"/>
      </w:tabs>
      <w:snapToGrid w:val="0"/>
      <w:jc w:val="left"/>
    </w:pPr>
    <w:rPr>
      <w:rFonts w:cs="Times New Roman"/>
      <w:kern w:val="0"/>
      <w:sz w:val="18"/>
      <w:szCs w:val="18"/>
    </w:rPr>
  </w:style>
  <w:style w:type="paragraph" w:styleId="ad">
    <w:name w:val="header"/>
    <w:basedOn w:val="a0"/>
    <w:link w:val="14"/>
    <w:uiPriority w:val="99"/>
    <w:unhideWhenUsed/>
    <w:qFormat/>
    <w:pPr>
      <w:pBdr>
        <w:bottom w:val="single" w:sz="6" w:space="1" w:color="auto"/>
      </w:pBdr>
      <w:tabs>
        <w:tab w:val="center" w:pos="4153"/>
        <w:tab w:val="right" w:pos="8306"/>
      </w:tabs>
      <w:snapToGrid w:val="0"/>
      <w:jc w:val="center"/>
    </w:pPr>
    <w:rPr>
      <w:rFonts w:cs="Times New Roman"/>
      <w:kern w:val="0"/>
      <w:sz w:val="18"/>
      <w:szCs w:val="18"/>
    </w:rPr>
  </w:style>
  <w:style w:type="paragraph" w:styleId="TOC1">
    <w:name w:val="toc 1"/>
    <w:basedOn w:val="a0"/>
    <w:next w:val="a0"/>
    <w:uiPriority w:val="39"/>
    <w:unhideWhenUsed/>
    <w:qFormat/>
  </w:style>
  <w:style w:type="paragraph" w:styleId="ae">
    <w:name w:val="Normal (Web)"/>
    <w:basedOn w:val="a0"/>
    <w:unhideWhenUsed/>
    <w:qFormat/>
    <w:pPr>
      <w:widowControl/>
      <w:spacing w:before="100" w:beforeAutospacing="1" w:after="100" w:afterAutospacing="1"/>
      <w:jc w:val="left"/>
    </w:pPr>
    <w:rPr>
      <w:rFonts w:ascii="宋体" w:hAnsi="宋体" w:cs="宋体"/>
      <w:color w:val="000000"/>
      <w:kern w:val="0"/>
      <w:sz w:val="24"/>
    </w:rPr>
  </w:style>
  <w:style w:type="paragraph" w:styleId="15">
    <w:name w:val="index 1"/>
    <w:basedOn w:val="a0"/>
    <w:next w:val="a0"/>
    <w:uiPriority w:val="99"/>
    <w:unhideWhenUsed/>
    <w:qFormat/>
    <w:pPr>
      <w:spacing w:line="240" w:lineRule="atLeast"/>
      <w:jc w:val="center"/>
    </w:pPr>
    <w:rPr>
      <w:rFonts w:ascii="汉仪仿宋简" w:eastAsia="汉仪仿宋简" w:hAnsi="宋体" w:cs="宋体"/>
      <w:sz w:val="28"/>
      <w:szCs w:val="28"/>
    </w:rPr>
  </w:style>
  <w:style w:type="paragraph" w:styleId="af">
    <w:name w:val="annotation subject"/>
    <w:basedOn w:val="a6"/>
    <w:next w:val="a6"/>
    <w:link w:val="16"/>
    <w:unhideWhenUsed/>
    <w:qFormat/>
    <w:rPr>
      <w:b/>
      <w:bCs/>
    </w:rPr>
  </w:style>
  <w:style w:type="paragraph" w:styleId="20">
    <w:name w:val="Body Text First Indent 2"/>
    <w:basedOn w:val="a7"/>
    <w:uiPriority w:val="99"/>
    <w:unhideWhenUsed/>
    <w:qFormat/>
    <w:pPr>
      <w:ind w:firstLine="420"/>
    </w:pPr>
  </w:style>
  <w:style w:type="table" w:styleId="af0">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rPr>
  </w:style>
  <w:style w:type="character" w:styleId="af2">
    <w:name w:val="page number"/>
    <w:basedOn w:val="a2"/>
    <w:unhideWhenUsed/>
    <w:qFormat/>
  </w:style>
  <w:style w:type="character" w:styleId="af3">
    <w:name w:val="FollowedHyperlink"/>
    <w:unhideWhenUsed/>
    <w:qFormat/>
    <w:rPr>
      <w:color w:val="000000"/>
      <w:u w:val="none"/>
    </w:rPr>
  </w:style>
  <w:style w:type="character" w:styleId="af4">
    <w:name w:val="Hyperlink"/>
    <w:uiPriority w:val="99"/>
    <w:unhideWhenUsed/>
    <w:qFormat/>
    <w:rPr>
      <w:color w:val="000000"/>
      <w:u w:val="none"/>
    </w:rPr>
  </w:style>
  <w:style w:type="character" w:styleId="af5">
    <w:name w:val="annotation reference"/>
    <w:unhideWhenUsed/>
    <w:qFormat/>
    <w:rPr>
      <w:sz w:val="21"/>
      <w:szCs w:val="21"/>
    </w:rPr>
  </w:style>
  <w:style w:type="character" w:customStyle="1" w:styleId="af6">
    <w:name w:val="批注框文本 字符"/>
    <w:uiPriority w:val="99"/>
    <w:semiHidden/>
    <w:qFormat/>
    <w:rPr>
      <w:sz w:val="18"/>
      <w:szCs w:val="18"/>
    </w:rPr>
  </w:style>
  <w:style w:type="character" w:customStyle="1" w:styleId="30">
    <w:name w:val="正文文本 3 字符"/>
    <w:uiPriority w:val="99"/>
    <w:qFormat/>
    <w:rPr>
      <w:rFonts w:eastAsia="仿宋_GB2312"/>
      <w:sz w:val="28"/>
      <w:szCs w:val="28"/>
    </w:rPr>
  </w:style>
  <w:style w:type="character" w:customStyle="1" w:styleId="af7">
    <w:name w:val="批注文字 字符"/>
    <w:semiHidden/>
    <w:qFormat/>
    <w:rPr>
      <w:rFonts w:cs="黑体"/>
      <w:kern w:val="2"/>
      <w:sz w:val="21"/>
      <w:szCs w:val="22"/>
    </w:rPr>
  </w:style>
  <w:style w:type="character" w:customStyle="1" w:styleId="12">
    <w:name w:val="批注框文本 字符1"/>
    <w:link w:val="ab"/>
    <w:uiPriority w:val="99"/>
    <w:semiHidden/>
    <w:qFormat/>
    <w:rPr>
      <w:sz w:val="18"/>
      <w:szCs w:val="18"/>
    </w:rPr>
  </w:style>
  <w:style w:type="character" w:customStyle="1" w:styleId="11">
    <w:name w:val="标题 1 字符1"/>
    <w:link w:val="1"/>
    <w:qFormat/>
    <w:rPr>
      <w:rFonts w:ascii="Arial" w:eastAsia="黑体" w:hAnsi="Arial" w:cs="Times New Roman"/>
      <w:bCs/>
      <w:snapToGrid w:val="0"/>
      <w:kern w:val="0"/>
      <w:sz w:val="28"/>
      <w:szCs w:val="28"/>
    </w:rPr>
  </w:style>
  <w:style w:type="character" w:customStyle="1" w:styleId="17">
    <w:name w:val="标题 1 字符"/>
    <w:qFormat/>
    <w:rPr>
      <w:rFonts w:ascii="Arial" w:eastAsia="黑体" w:hAnsi="Arial" w:cs="Times New Roman"/>
      <w:bCs/>
      <w:snapToGrid w:val="0"/>
      <w:kern w:val="0"/>
      <w:sz w:val="28"/>
      <w:szCs w:val="28"/>
    </w:rPr>
  </w:style>
  <w:style w:type="character" w:customStyle="1" w:styleId="af8">
    <w:name w:val="页眉 字符"/>
    <w:uiPriority w:val="99"/>
    <w:qFormat/>
    <w:rPr>
      <w:sz w:val="18"/>
      <w:szCs w:val="18"/>
    </w:rPr>
  </w:style>
  <w:style w:type="character" w:customStyle="1" w:styleId="af9">
    <w:name w:val="页脚 字符"/>
    <w:uiPriority w:val="99"/>
    <w:qFormat/>
    <w:rPr>
      <w:sz w:val="18"/>
      <w:szCs w:val="18"/>
    </w:rPr>
  </w:style>
  <w:style w:type="character" w:customStyle="1" w:styleId="13">
    <w:name w:val="页脚 字符1"/>
    <w:link w:val="ac"/>
    <w:uiPriority w:val="99"/>
    <w:qFormat/>
    <w:rPr>
      <w:sz w:val="18"/>
      <w:szCs w:val="18"/>
    </w:rPr>
  </w:style>
  <w:style w:type="character" w:customStyle="1" w:styleId="10">
    <w:name w:val="批注文字 字符1"/>
    <w:link w:val="a6"/>
    <w:qFormat/>
    <w:rPr>
      <w:rFonts w:cs="黑体"/>
      <w:kern w:val="2"/>
      <w:sz w:val="21"/>
      <w:szCs w:val="22"/>
    </w:rPr>
  </w:style>
  <w:style w:type="character" w:customStyle="1" w:styleId="16">
    <w:name w:val="批注主题 字符1"/>
    <w:link w:val="af"/>
    <w:semiHidden/>
    <w:qFormat/>
    <w:rPr>
      <w:rFonts w:cs="黑体"/>
      <w:b/>
      <w:bCs/>
      <w:kern w:val="2"/>
      <w:sz w:val="21"/>
      <w:szCs w:val="22"/>
    </w:rPr>
  </w:style>
  <w:style w:type="character" w:customStyle="1" w:styleId="aa">
    <w:name w:val="日期 字符"/>
    <w:link w:val="a9"/>
    <w:semiHidden/>
    <w:qFormat/>
    <w:rPr>
      <w:rFonts w:cs="黑体"/>
      <w:kern w:val="2"/>
      <w:sz w:val="21"/>
      <w:szCs w:val="22"/>
    </w:rPr>
  </w:style>
  <w:style w:type="character" w:customStyle="1" w:styleId="31">
    <w:name w:val="正文文本 3 字符1"/>
    <w:link w:val="3"/>
    <w:uiPriority w:val="99"/>
    <w:qFormat/>
    <w:rPr>
      <w:rFonts w:eastAsia="仿宋_GB2312"/>
      <w:sz w:val="28"/>
      <w:szCs w:val="28"/>
    </w:rPr>
  </w:style>
  <w:style w:type="character" w:customStyle="1" w:styleId="afa">
    <w:name w:val="批注主题 字符"/>
    <w:semiHidden/>
    <w:qFormat/>
    <w:rPr>
      <w:rFonts w:cs="黑体"/>
      <w:b/>
      <w:bCs/>
      <w:kern w:val="2"/>
      <w:sz w:val="21"/>
      <w:szCs w:val="22"/>
    </w:rPr>
  </w:style>
  <w:style w:type="character" w:customStyle="1" w:styleId="14">
    <w:name w:val="页眉 字符1"/>
    <w:link w:val="ad"/>
    <w:uiPriority w:val="99"/>
    <w:qFormat/>
    <w:rPr>
      <w:sz w:val="18"/>
      <w:szCs w:val="18"/>
    </w:rPr>
  </w:style>
  <w:style w:type="paragraph" w:customStyle="1" w:styleId="21">
    <w:name w:val="样式 首行缩进:  2 字符"/>
    <w:basedOn w:val="TOC1"/>
    <w:qFormat/>
    <w:pPr>
      <w:tabs>
        <w:tab w:val="right" w:leader="dot" w:pos="8303"/>
      </w:tabs>
      <w:adjustRightInd w:val="0"/>
      <w:snapToGrid w:val="0"/>
      <w:spacing w:before="120" w:after="120" w:line="300" w:lineRule="auto"/>
      <w:ind w:firstLineChars="200" w:firstLine="560"/>
      <w:jc w:val="left"/>
    </w:pPr>
    <w:rPr>
      <w:rFonts w:eastAsia="仿宋_GB2312" w:cs="Times New Roman"/>
      <w:bCs/>
      <w:caps/>
      <w:snapToGrid w:val="0"/>
      <w:kern w:val="0"/>
      <w:sz w:val="28"/>
      <w:szCs w:val="20"/>
    </w:rPr>
  </w:style>
  <w:style w:type="paragraph" w:customStyle="1" w:styleId="afb">
    <w:name w:val="发文字号"/>
    <w:basedOn w:val="a0"/>
    <w:qFormat/>
    <w:pPr>
      <w:jc w:val="center"/>
    </w:pPr>
    <w:rPr>
      <w:rFonts w:ascii="Calibri" w:eastAsia="仿宋_GB2312" w:hAnsi="Calibri"/>
      <w:kern w:val="0"/>
      <w:sz w:val="32"/>
      <w:szCs w:val="30"/>
    </w:rPr>
  </w:style>
  <w:style w:type="paragraph" w:customStyle="1" w:styleId="afc">
    <w:name w:val="注：（正文）"/>
    <w:next w:val="a0"/>
    <w:qFormat/>
    <w:pPr>
      <w:widowControl w:val="0"/>
      <w:tabs>
        <w:tab w:val="left" w:pos="1560"/>
      </w:tabs>
      <w:jc w:val="both"/>
    </w:pPr>
    <w:rPr>
      <w:rFonts w:ascii="宋体" w:hAnsi="宋体" w:cs="宋体"/>
      <w:color w:val="000000"/>
      <w:sz w:val="18"/>
      <w:szCs w:val="18"/>
    </w:rPr>
  </w:style>
  <w:style w:type="paragraph" w:customStyle="1" w:styleId="18">
    <w:name w:val="修订1"/>
    <w:uiPriority w:val="99"/>
    <w:unhideWhenUsed/>
    <w:qFormat/>
    <w:rPr>
      <w:rFonts w:cs="黑体"/>
      <w:kern w:val="2"/>
      <w:sz w:val="21"/>
      <w:szCs w:val="22"/>
    </w:rPr>
  </w:style>
  <w:style w:type="paragraph" w:customStyle="1" w:styleId="Afd">
    <w:name w:val="正文 A"/>
    <w:qFormat/>
    <w:pPr>
      <w:widowControl w:val="0"/>
      <w:jc w:val="both"/>
    </w:pPr>
    <w:rPr>
      <w:rFonts w:eastAsia="Arial Unicode MS" w:cs="Arial Unicode MS"/>
      <w:color w:val="000000"/>
      <w:kern w:val="2"/>
      <w:sz w:val="21"/>
      <w:szCs w:val="21"/>
    </w:rPr>
  </w:style>
  <w:style w:type="paragraph" w:customStyle="1" w:styleId="22">
    <w:name w:val="列出段落2"/>
    <w:basedOn w:val="a0"/>
    <w:uiPriority w:val="99"/>
    <w:unhideWhenUsed/>
    <w:qFormat/>
    <w:pPr>
      <w:ind w:firstLineChars="200" w:firstLine="420"/>
    </w:pPr>
  </w:style>
  <w:style w:type="paragraph" w:customStyle="1" w:styleId="19">
    <w:name w:val="列表段落1"/>
    <w:basedOn w:val="a0"/>
    <w:uiPriority w:val="34"/>
    <w:qFormat/>
    <w:pPr>
      <w:ind w:firstLineChars="200" w:firstLine="420"/>
    </w:pPr>
    <w:rPr>
      <w:rFonts w:ascii="Calibri" w:hAnsi="Calibri" w:cs="Times New Roman"/>
    </w:rPr>
  </w:style>
  <w:style w:type="paragraph" w:customStyle="1" w:styleId="1a">
    <w:name w:val="列出段落1"/>
    <w:basedOn w:val="a0"/>
    <w:uiPriority w:val="34"/>
    <w:qFormat/>
    <w:pPr>
      <w:ind w:firstLineChars="200" w:firstLine="420"/>
    </w:pPr>
  </w:style>
  <w:style w:type="paragraph" w:customStyle="1" w:styleId="32">
    <w:name w:val="列出段落3"/>
    <w:basedOn w:val="a0"/>
    <w:uiPriority w:val="99"/>
    <w:unhideWhenUsed/>
    <w:qFormat/>
    <w:pPr>
      <w:ind w:firstLineChars="200" w:firstLine="420"/>
    </w:pPr>
  </w:style>
  <w:style w:type="paragraph" w:customStyle="1" w:styleId="a">
    <w:name w:val="附录表标题"/>
    <w:next w:val="a0"/>
    <w:qFormat/>
    <w:pPr>
      <w:numPr>
        <w:numId w:val="1"/>
      </w:numPr>
      <w:jc w:val="center"/>
      <w:textAlignment w:val="baseline"/>
    </w:pPr>
    <w:rPr>
      <w:rFonts w:ascii="黑体" w:eastAsia="黑体"/>
      <w:kern w:val="21"/>
      <w:sz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styleId="afe">
    <w:name w:val="Placeholder Text"/>
    <w:basedOn w:val="a2"/>
    <w:uiPriority w:val="99"/>
    <w:unhideWhenUsed/>
    <w:qFormat/>
    <w:rPr>
      <w:color w:val="666666"/>
    </w:rPr>
  </w:style>
  <w:style w:type="paragraph" w:customStyle="1" w:styleId="23">
    <w:name w:val="修订2"/>
    <w:hidden/>
    <w:uiPriority w:val="99"/>
    <w:unhideWhenUsed/>
    <w:qFormat/>
    <w:rPr>
      <w:rFonts w:cs="黑体"/>
      <w:kern w:val="2"/>
      <w:sz w:val="21"/>
      <w:szCs w:val="22"/>
    </w:rPr>
  </w:style>
  <w:style w:type="character" w:customStyle="1" w:styleId="a5">
    <w:name w:val="正文文本 字符"/>
    <w:link w:val="a1"/>
    <w:uiPriority w:val="1"/>
    <w:qFormat/>
    <w:rPr>
      <w:rFonts w:eastAsia="仿宋_GB2312" w:cs="黑体"/>
      <w:kern w:val="2"/>
      <w:sz w:val="32"/>
      <w:szCs w:val="22"/>
    </w:rPr>
  </w:style>
  <w:style w:type="paragraph" w:styleId="aff">
    <w:name w:val="List Paragraph"/>
    <w:basedOn w:val="a0"/>
    <w:uiPriority w:val="99"/>
    <w:unhideWhenUsed/>
    <w:qFormat/>
    <w:pPr>
      <w:ind w:firstLineChars="200" w:firstLine="420"/>
    </w:pPr>
  </w:style>
  <w:style w:type="paragraph" w:customStyle="1" w:styleId="aff0">
    <w:name w:val="三级"/>
    <w:basedOn w:val="a0"/>
    <w:link w:val="aff1"/>
    <w:qFormat/>
    <w:pPr>
      <w:tabs>
        <w:tab w:val="left" w:pos="0"/>
        <w:tab w:val="left" w:pos="851"/>
      </w:tabs>
      <w:spacing w:line="360" w:lineRule="auto"/>
      <w:jc w:val="left"/>
      <w:outlineLvl w:val="2"/>
    </w:pPr>
    <w:rPr>
      <w:rFonts w:cs="Times New Roman"/>
      <w:b/>
      <w:bCs/>
    </w:rPr>
  </w:style>
  <w:style w:type="character" w:customStyle="1" w:styleId="aff1">
    <w:name w:val="三级 字符"/>
    <w:basedOn w:val="a2"/>
    <w:link w:val="aff0"/>
    <w:qFormat/>
    <w:rPr>
      <w:b/>
      <w:bCs/>
      <w:kern w:val="2"/>
      <w:sz w:val="21"/>
      <w:szCs w:val="22"/>
    </w:rPr>
  </w:style>
  <w:style w:type="paragraph" w:customStyle="1" w:styleId="aff2">
    <w:name w:val="二级"/>
    <w:basedOn w:val="a0"/>
    <w:link w:val="aff3"/>
    <w:qFormat/>
    <w:pPr>
      <w:spacing w:line="360" w:lineRule="auto"/>
      <w:jc w:val="left"/>
      <w:outlineLvl w:val="1"/>
    </w:pPr>
    <w:rPr>
      <w:rFonts w:cs="Times New Roman"/>
      <w:b/>
      <w:bCs/>
    </w:rPr>
  </w:style>
  <w:style w:type="character" w:customStyle="1" w:styleId="aff3">
    <w:name w:val="二级 字符"/>
    <w:basedOn w:val="a2"/>
    <w:link w:val="aff2"/>
    <w:qFormat/>
    <w:rPr>
      <w:b/>
      <w:bCs/>
      <w:kern w:val="2"/>
      <w:sz w:val="21"/>
      <w:szCs w:val="22"/>
    </w:rPr>
  </w:style>
  <w:style w:type="paragraph" w:customStyle="1" w:styleId="33">
    <w:name w:val="修订3"/>
    <w:hidden/>
    <w:uiPriority w:val="99"/>
    <w:unhideWhenUsed/>
    <w:qFormat/>
    <w:rPr>
      <w:rFonts w:cs="黑体"/>
      <w:kern w:val="2"/>
      <w:sz w:val="21"/>
      <w:szCs w:val="22"/>
    </w:rPr>
  </w:style>
  <w:style w:type="paragraph" w:customStyle="1" w:styleId="4">
    <w:name w:val="修订4"/>
    <w:hidden/>
    <w:uiPriority w:val="99"/>
    <w:semiHidden/>
    <w:qFormat/>
    <w:rPr>
      <w:rFonts w:cs="黑体"/>
      <w:kern w:val="2"/>
      <w:sz w:val="21"/>
      <w:szCs w:val="22"/>
    </w:rPr>
  </w:style>
  <w:style w:type="paragraph" w:customStyle="1" w:styleId="5">
    <w:name w:val="修订5"/>
    <w:hidden/>
    <w:uiPriority w:val="99"/>
    <w:unhideWhenUsed/>
    <w:qFormat/>
    <w:rPr>
      <w:rFonts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3270</Words>
  <Characters>18645</Characters>
  <Application>Microsoft Office Word</Application>
  <DocSecurity>0</DocSecurity>
  <Lines>155</Lines>
  <Paragraphs>43</Paragraphs>
  <ScaleCrop>false</ScaleCrop>
  <Company>Sky123.Org</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中国水利学会标准管理办法</dc:title>
  <dc:creator>HOME</dc:creator>
  <cp:lastModifiedBy>Lenovo</cp:lastModifiedBy>
  <cp:revision>68</cp:revision>
  <cp:lastPrinted>2020-07-16T06:48:00Z</cp:lastPrinted>
  <dcterms:created xsi:type="dcterms:W3CDTF">2025-04-25T02:49:00Z</dcterms:created>
  <dcterms:modified xsi:type="dcterms:W3CDTF">2025-06-04T06:47:00Z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E711B27E751C44368CAAE508A4184693_13</vt:lpwstr>
  </property>
  <property fmtid="{D5CDD505-2E9C-101B-9397-08002B2CF9AE}" pid="4" name="KSOTemplateDocerSaveRecord">
    <vt:lpwstr>eyJoZGlkIjoiOWU1ZjJlZDNjZWQyZjQ5MTEyZjJkNzcyZjU2MzUyMWYiLCJ1c2VySWQiOiI3MjAyODcyODQifQ==</vt:lpwstr>
  </property>
  <property fmtid="{D5CDD505-2E9C-101B-9397-08002B2CF9AE}" pid="5" name="GrammarlyDocumentId">
    <vt:lpwstr>a885c4b0-a744-4e33-aa44-00c77cc3332c</vt:lpwstr>
  </property>
</Properties>
</file>